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38" w:rsidRPr="00B10B0E" w:rsidRDefault="000A2F38">
      <w:pPr>
        <w:rPr>
          <w:sz w:val="22"/>
          <w:szCs w:val="22"/>
        </w:rPr>
      </w:pPr>
      <w:r w:rsidRPr="00B10B0E">
        <w:rPr>
          <w:sz w:val="22"/>
          <w:szCs w:val="22"/>
        </w:rPr>
        <w:t xml:space="preserve">Chapter </w:t>
      </w:r>
      <w:proofErr w:type="gramStart"/>
      <w:r w:rsidRPr="00B10B0E">
        <w:rPr>
          <w:sz w:val="22"/>
          <w:szCs w:val="22"/>
        </w:rPr>
        <w:t>2  The</w:t>
      </w:r>
      <w:proofErr w:type="gramEnd"/>
      <w:r w:rsidRPr="00B10B0E">
        <w:rPr>
          <w:sz w:val="22"/>
          <w:szCs w:val="22"/>
        </w:rPr>
        <w:t xml:space="preserve"> Business, Tax and Financial Environments</w:t>
      </w:r>
    </w:p>
    <w:p w:rsidR="000A2F38" w:rsidRPr="00B10B0E" w:rsidRDefault="000A2F38">
      <w:pPr>
        <w:rPr>
          <w:sz w:val="22"/>
          <w:szCs w:val="22"/>
        </w:rPr>
      </w:pPr>
    </w:p>
    <w:p w:rsidR="000A2F38" w:rsidRPr="00B10B0E" w:rsidRDefault="000A2F38">
      <w:pPr>
        <w:rPr>
          <w:sz w:val="22"/>
          <w:szCs w:val="22"/>
        </w:rPr>
      </w:pPr>
      <w:r w:rsidRPr="00B10B0E">
        <w:rPr>
          <w:sz w:val="22"/>
          <w:szCs w:val="22"/>
        </w:rPr>
        <w:t>Homework Problems</w:t>
      </w:r>
    </w:p>
    <w:p w:rsidR="000A2F38" w:rsidRPr="00B10B0E" w:rsidRDefault="000A2F38">
      <w:pPr>
        <w:rPr>
          <w:sz w:val="22"/>
          <w:szCs w:val="22"/>
        </w:rPr>
      </w:pPr>
    </w:p>
    <w:p w:rsidR="000A2F38" w:rsidRPr="00B10B0E" w:rsidRDefault="000A2F38">
      <w:pPr>
        <w:pStyle w:val="BodyTextIndent"/>
        <w:rPr>
          <w:sz w:val="22"/>
          <w:szCs w:val="22"/>
        </w:rPr>
      </w:pPr>
      <w:r w:rsidRPr="00B10B0E">
        <w:rPr>
          <w:sz w:val="22"/>
          <w:szCs w:val="22"/>
        </w:rPr>
        <w:t>2.</w:t>
      </w:r>
      <w:r w:rsidRPr="00B10B0E">
        <w:rPr>
          <w:sz w:val="22"/>
          <w:szCs w:val="22"/>
        </w:rPr>
        <w:tab/>
        <w:t xml:space="preserve">The </w:t>
      </w:r>
      <w:proofErr w:type="spellStart"/>
      <w:r w:rsidRPr="00B10B0E">
        <w:rPr>
          <w:sz w:val="22"/>
          <w:szCs w:val="22"/>
        </w:rPr>
        <w:t>Loann</w:t>
      </w:r>
      <w:proofErr w:type="spellEnd"/>
      <w:r w:rsidRPr="00B10B0E">
        <w:rPr>
          <w:sz w:val="22"/>
          <w:szCs w:val="22"/>
        </w:rPr>
        <w:t xml:space="preserve"> Le Milling Company is going to purchase a new piece of testing equipment for $28,000 and a new machine for $53,000.  The equipment falls in the three-year property class, and the machine is in the five-year class.  What annual depreciation will the company be able to take on the two assets?</w:t>
      </w:r>
    </w:p>
    <w:p w:rsidR="000A2F38" w:rsidRPr="00B10B0E" w:rsidRDefault="000A2F38">
      <w:pPr>
        <w:ind w:left="360" w:hanging="360"/>
        <w:rPr>
          <w:sz w:val="22"/>
          <w:szCs w:val="22"/>
        </w:rPr>
      </w:pPr>
    </w:p>
    <w:tbl>
      <w:tblPr>
        <w:tblW w:w="0" w:type="auto"/>
        <w:tblInd w:w="1008" w:type="dxa"/>
        <w:tblLayout w:type="fixed"/>
        <w:tblLook w:val="0000" w:firstRow="0" w:lastRow="0" w:firstColumn="0" w:lastColumn="0" w:noHBand="0" w:noVBand="0"/>
      </w:tblPr>
      <w:tblGrid>
        <w:gridCol w:w="1185"/>
        <w:gridCol w:w="1845"/>
        <w:gridCol w:w="1846"/>
        <w:gridCol w:w="1846"/>
        <w:gridCol w:w="1846"/>
      </w:tblGrid>
      <w:tr w:rsidR="000A2F38" w:rsidRPr="00B10B0E">
        <w:tblPrEx>
          <w:tblCellMar>
            <w:top w:w="0" w:type="dxa"/>
            <w:bottom w:w="0" w:type="dxa"/>
          </w:tblCellMar>
        </w:tblPrEx>
        <w:trPr>
          <w:cantSplit/>
        </w:trPr>
        <w:tc>
          <w:tcPr>
            <w:tcW w:w="1185" w:type="dxa"/>
            <w:vMerge w:val="restart"/>
          </w:tcPr>
          <w:p w:rsidR="000A2F38" w:rsidRPr="00B10B0E" w:rsidRDefault="000A2F38">
            <w:pPr>
              <w:jc w:val="center"/>
              <w:rPr>
                <w:b/>
                <w:bCs/>
                <w:sz w:val="22"/>
                <w:szCs w:val="22"/>
              </w:rPr>
            </w:pPr>
            <w:r w:rsidRPr="00B10B0E">
              <w:rPr>
                <w:b/>
                <w:bCs/>
                <w:sz w:val="22"/>
                <w:szCs w:val="22"/>
              </w:rPr>
              <w:t>Recovery Year</w:t>
            </w:r>
          </w:p>
        </w:tc>
        <w:tc>
          <w:tcPr>
            <w:tcW w:w="7383" w:type="dxa"/>
            <w:gridSpan w:val="4"/>
            <w:tcBorders>
              <w:bottom w:val="single" w:sz="4" w:space="0" w:color="auto"/>
            </w:tcBorders>
          </w:tcPr>
          <w:p w:rsidR="000A2F38" w:rsidRPr="00B10B0E" w:rsidRDefault="000A2F38">
            <w:pPr>
              <w:pStyle w:val="Heading1"/>
              <w:rPr>
                <w:sz w:val="22"/>
                <w:szCs w:val="22"/>
              </w:rPr>
            </w:pPr>
            <w:r w:rsidRPr="00B10B0E">
              <w:rPr>
                <w:sz w:val="22"/>
                <w:szCs w:val="22"/>
              </w:rPr>
              <w:t>PROPERTY CLASS</w:t>
            </w:r>
          </w:p>
        </w:tc>
      </w:tr>
      <w:tr w:rsidR="000A2F38" w:rsidRPr="00B10B0E">
        <w:tblPrEx>
          <w:tblCellMar>
            <w:top w:w="0" w:type="dxa"/>
            <w:bottom w:w="0" w:type="dxa"/>
          </w:tblCellMar>
        </w:tblPrEx>
        <w:trPr>
          <w:cantSplit/>
        </w:trPr>
        <w:tc>
          <w:tcPr>
            <w:tcW w:w="1185" w:type="dxa"/>
            <w:vMerge/>
            <w:tcBorders>
              <w:bottom w:val="single" w:sz="4" w:space="0" w:color="auto"/>
            </w:tcBorders>
          </w:tcPr>
          <w:p w:rsidR="000A2F38" w:rsidRPr="00B10B0E" w:rsidRDefault="000A2F38">
            <w:pPr>
              <w:jc w:val="center"/>
              <w:rPr>
                <w:b/>
                <w:bCs/>
                <w:sz w:val="22"/>
                <w:szCs w:val="22"/>
              </w:rPr>
            </w:pPr>
          </w:p>
        </w:tc>
        <w:tc>
          <w:tcPr>
            <w:tcW w:w="1845" w:type="dxa"/>
            <w:tcBorders>
              <w:top w:val="single" w:sz="4" w:space="0" w:color="auto"/>
              <w:bottom w:val="single" w:sz="4" w:space="0" w:color="auto"/>
            </w:tcBorders>
          </w:tcPr>
          <w:p w:rsidR="000A2F38" w:rsidRPr="00B10B0E" w:rsidRDefault="000A2F38">
            <w:pPr>
              <w:jc w:val="center"/>
              <w:rPr>
                <w:b/>
                <w:bCs/>
                <w:sz w:val="22"/>
                <w:szCs w:val="22"/>
              </w:rPr>
            </w:pPr>
            <w:r w:rsidRPr="00B10B0E">
              <w:rPr>
                <w:b/>
                <w:bCs/>
                <w:sz w:val="22"/>
                <w:szCs w:val="22"/>
              </w:rPr>
              <w:t>3-year</w:t>
            </w:r>
          </w:p>
        </w:tc>
        <w:tc>
          <w:tcPr>
            <w:tcW w:w="1846" w:type="dxa"/>
            <w:tcBorders>
              <w:top w:val="single" w:sz="4" w:space="0" w:color="auto"/>
              <w:bottom w:val="single" w:sz="4" w:space="0" w:color="auto"/>
            </w:tcBorders>
          </w:tcPr>
          <w:p w:rsidR="000A2F38" w:rsidRPr="00B10B0E" w:rsidRDefault="000A2F38">
            <w:pPr>
              <w:jc w:val="center"/>
              <w:rPr>
                <w:b/>
                <w:bCs/>
                <w:sz w:val="22"/>
                <w:szCs w:val="22"/>
              </w:rPr>
            </w:pPr>
            <w:r w:rsidRPr="00B10B0E">
              <w:rPr>
                <w:b/>
                <w:bCs/>
                <w:sz w:val="22"/>
                <w:szCs w:val="22"/>
              </w:rPr>
              <w:t>5-year</w:t>
            </w:r>
          </w:p>
        </w:tc>
        <w:tc>
          <w:tcPr>
            <w:tcW w:w="1846" w:type="dxa"/>
            <w:tcBorders>
              <w:top w:val="single" w:sz="4" w:space="0" w:color="auto"/>
              <w:bottom w:val="single" w:sz="4" w:space="0" w:color="auto"/>
            </w:tcBorders>
          </w:tcPr>
          <w:p w:rsidR="000A2F38" w:rsidRPr="00B10B0E" w:rsidRDefault="000A2F38">
            <w:pPr>
              <w:jc w:val="center"/>
              <w:rPr>
                <w:b/>
                <w:bCs/>
                <w:sz w:val="22"/>
                <w:szCs w:val="22"/>
              </w:rPr>
            </w:pPr>
            <w:r w:rsidRPr="00B10B0E">
              <w:rPr>
                <w:b/>
                <w:bCs/>
                <w:sz w:val="22"/>
                <w:szCs w:val="22"/>
              </w:rPr>
              <w:t>7-year</w:t>
            </w:r>
          </w:p>
        </w:tc>
        <w:tc>
          <w:tcPr>
            <w:tcW w:w="1846" w:type="dxa"/>
            <w:tcBorders>
              <w:top w:val="single" w:sz="4" w:space="0" w:color="auto"/>
              <w:bottom w:val="single" w:sz="4" w:space="0" w:color="auto"/>
            </w:tcBorders>
          </w:tcPr>
          <w:p w:rsidR="000A2F38" w:rsidRPr="00B10B0E" w:rsidRDefault="000A2F38">
            <w:pPr>
              <w:jc w:val="center"/>
              <w:rPr>
                <w:b/>
                <w:bCs/>
                <w:sz w:val="22"/>
                <w:szCs w:val="22"/>
              </w:rPr>
            </w:pPr>
            <w:r w:rsidRPr="00B10B0E">
              <w:rPr>
                <w:b/>
                <w:bCs/>
                <w:sz w:val="22"/>
                <w:szCs w:val="22"/>
              </w:rPr>
              <w:t>10-year</w:t>
            </w:r>
          </w:p>
        </w:tc>
      </w:tr>
      <w:tr w:rsidR="000A2F38" w:rsidRPr="00B10B0E">
        <w:tblPrEx>
          <w:tblCellMar>
            <w:top w:w="0" w:type="dxa"/>
            <w:bottom w:w="0" w:type="dxa"/>
          </w:tblCellMar>
        </w:tblPrEx>
        <w:tc>
          <w:tcPr>
            <w:tcW w:w="1185" w:type="dxa"/>
            <w:tcBorders>
              <w:top w:val="single" w:sz="4" w:space="0" w:color="auto"/>
            </w:tcBorders>
          </w:tcPr>
          <w:p w:rsidR="000A2F38" w:rsidRPr="00B10B0E" w:rsidRDefault="000A2F38">
            <w:pPr>
              <w:jc w:val="center"/>
              <w:rPr>
                <w:b/>
                <w:bCs/>
                <w:sz w:val="22"/>
                <w:szCs w:val="22"/>
              </w:rPr>
            </w:pPr>
            <w:r w:rsidRPr="00B10B0E">
              <w:rPr>
                <w:b/>
                <w:bCs/>
                <w:sz w:val="22"/>
                <w:szCs w:val="22"/>
              </w:rPr>
              <w:t>1</w:t>
            </w:r>
          </w:p>
        </w:tc>
        <w:tc>
          <w:tcPr>
            <w:tcW w:w="1845" w:type="dxa"/>
            <w:tcBorders>
              <w:top w:val="single" w:sz="4" w:space="0" w:color="auto"/>
            </w:tcBorders>
          </w:tcPr>
          <w:p w:rsidR="000A2F38" w:rsidRPr="00B10B0E" w:rsidRDefault="000A2F38">
            <w:pPr>
              <w:jc w:val="center"/>
              <w:rPr>
                <w:sz w:val="22"/>
                <w:szCs w:val="22"/>
              </w:rPr>
            </w:pPr>
            <w:r w:rsidRPr="00B10B0E">
              <w:rPr>
                <w:sz w:val="22"/>
                <w:szCs w:val="22"/>
              </w:rPr>
              <w:t>33.33%</w:t>
            </w:r>
          </w:p>
        </w:tc>
        <w:tc>
          <w:tcPr>
            <w:tcW w:w="1846" w:type="dxa"/>
            <w:tcBorders>
              <w:top w:val="single" w:sz="4" w:space="0" w:color="auto"/>
            </w:tcBorders>
          </w:tcPr>
          <w:p w:rsidR="000A2F38" w:rsidRPr="00B10B0E" w:rsidRDefault="000A2F38">
            <w:pPr>
              <w:jc w:val="center"/>
              <w:rPr>
                <w:sz w:val="22"/>
                <w:szCs w:val="22"/>
              </w:rPr>
            </w:pPr>
            <w:r w:rsidRPr="00B10B0E">
              <w:rPr>
                <w:sz w:val="22"/>
                <w:szCs w:val="22"/>
              </w:rPr>
              <w:t>20.00%</w:t>
            </w:r>
          </w:p>
        </w:tc>
        <w:tc>
          <w:tcPr>
            <w:tcW w:w="1846" w:type="dxa"/>
            <w:tcBorders>
              <w:top w:val="single" w:sz="4" w:space="0" w:color="auto"/>
            </w:tcBorders>
          </w:tcPr>
          <w:p w:rsidR="000A2F38" w:rsidRPr="00B10B0E" w:rsidRDefault="000A2F38">
            <w:pPr>
              <w:jc w:val="center"/>
              <w:rPr>
                <w:sz w:val="22"/>
                <w:szCs w:val="22"/>
              </w:rPr>
            </w:pPr>
            <w:r w:rsidRPr="00B10B0E">
              <w:rPr>
                <w:sz w:val="22"/>
                <w:szCs w:val="22"/>
              </w:rPr>
              <w:t>14.29%</w:t>
            </w:r>
          </w:p>
        </w:tc>
        <w:tc>
          <w:tcPr>
            <w:tcW w:w="1846" w:type="dxa"/>
            <w:tcBorders>
              <w:top w:val="single" w:sz="4" w:space="0" w:color="auto"/>
            </w:tcBorders>
          </w:tcPr>
          <w:p w:rsidR="000A2F38" w:rsidRPr="00B10B0E" w:rsidRDefault="000A2F38">
            <w:pPr>
              <w:jc w:val="center"/>
              <w:rPr>
                <w:sz w:val="22"/>
                <w:szCs w:val="22"/>
              </w:rPr>
            </w:pPr>
            <w:r w:rsidRPr="00B10B0E">
              <w:rPr>
                <w:sz w:val="22"/>
                <w:szCs w:val="22"/>
              </w:rPr>
              <w:t>10.00%</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2</w:t>
            </w:r>
          </w:p>
        </w:tc>
        <w:tc>
          <w:tcPr>
            <w:tcW w:w="1845" w:type="dxa"/>
          </w:tcPr>
          <w:p w:rsidR="000A2F38" w:rsidRPr="00B10B0E" w:rsidRDefault="000A2F38">
            <w:pPr>
              <w:jc w:val="center"/>
              <w:rPr>
                <w:sz w:val="22"/>
                <w:szCs w:val="22"/>
              </w:rPr>
            </w:pPr>
            <w:r w:rsidRPr="00B10B0E">
              <w:rPr>
                <w:sz w:val="22"/>
                <w:szCs w:val="22"/>
              </w:rPr>
              <w:t>44.45</w:t>
            </w:r>
          </w:p>
        </w:tc>
        <w:tc>
          <w:tcPr>
            <w:tcW w:w="1846" w:type="dxa"/>
          </w:tcPr>
          <w:p w:rsidR="000A2F38" w:rsidRPr="00B10B0E" w:rsidRDefault="000A2F38">
            <w:pPr>
              <w:jc w:val="center"/>
              <w:rPr>
                <w:sz w:val="22"/>
                <w:szCs w:val="22"/>
              </w:rPr>
            </w:pPr>
            <w:r w:rsidRPr="00B10B0E">
              <w:rPr>
                <w:sz w:val="22"/>
                <w:szCs w:val="22"/>
              </w:rPr>
              <w:t>32.00</w:t>
            </w:r>
          </w:p>
        </w:tc>
        <w:tc>
          <w:tcPr>
            <w:tcW w:w="1846" w:type="dxa"/>
          </w:tcPr>
          <w:p w:rsidR="000A2F38" w:rsidRPr="00B10B0E" w:rsidRDefault="000A2F38">
            <w:pPr>
              <w:jc w:val="center"/>
              <w:rPr>
                <w:sz w:val="22"/>
                <w:szCs w:val="22"/>
              </w:rPr>
            </w:pPr>
            <w:r w:rsidRPr="00B10B0E">
              <w:rPr>
                <w:sz w:val="22"/>
                <w:szCs w:val="22"/>
              </w:rPr>
              <w:t>24.49</w:t>
            </w:r>
          </w:p>
        </w:tc>
        <w:tc>
          <w:tcPr>
            <w:tcW w:w="1846" w:type="dxa"/>
          </w:tcPr>
          <w:p w:rsidR="000A2F38" w:rsidRPr="00B10B0E" w:rsidRDefault="000A2F38">
            <w:pPr>
              <w:jc w:val="center"/>
              <w:rPr>
                <w:sz w:val="22"/>
                <w:szCs w:val="22"/>
              </w:rPr>
            </w:pPr>
            <w:r w:rsidRPr="00B10B0E">
              <w:rPr>
                <w:sz w:val="22"/>
                <w:szCs w:val="22"/>
              </w:rPr>
              <w:t>18.00</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3</w:t>
            </w:r>
          </w:p>
        </w:tc>
        <w:tc>
          <w:tcPr>
            <w:tcW w:w="1845" w:type="dxa"/>
          </w:tcPr>
          <w:p w:rsidR="000A2F38" w:rsidRPr="00B10B0E" w:rsidRDefault="000A2F38">
            <w:pPr>
              <w:jc w:val="center"/>
              <w:rPr>
                <w:sz w:val="22"/>
                <w:szCs w:val="22"/>
              </w:rPr>
            </w:pPr>
            <w:r w:rsidRPr="00B10B0E">
              <w:rPr>
                <w:sz w:val="22"/>
                <w:szCs w:val="22"/>
              </w:rPr>
              <w:t>14.81</w:t>
            </w:r>
          </w:p>
        </w:tc>
        <w:tc>
          <w:tcPr>
            <w:tcW w:w="1846" w:type="dxa"/>
          </w:tcPr>
          <w:p w:rsidR="000A2F38" w:rsidRPr="00B10B0E" w:rsidRDefault="000A2F38">
            <w:pPr>
              <w:jc w:val="center"/>
              <w:rPr>
                <w:sz w:val="22"/>
                <w:szCs w:val="22"/>
              </w:rPr>
            </w:pPr>
            <w:r w:rsidRPr="00B10B0E">
              <w:rPr>
                <w:sz w:val="22"/>
                <w:szCs w:val="22"/>
              </w:rPr>
              <w:t>19.20</w:t>
            </w:r>
          </w:p>
        </w:tc>
        <w:tc>
          <w:tcPr>
            <w:tcW w:w="1846" w:type="dxa"/>
          </w:tcPr>
          <w:p w:rsidR="000A2F38" w:rsidRPr="00B10B0E" w:rsidRDefault="000A2F38">
            <w:pPr>
              <w:jc w:val="center"/>
              <w:rPr>
                <w:sz w:val="22"/>
                <w:szCs w:val="22"/>
              </w:rPr>
            </w:pPr>
            <w:r w:rsidRPr="00B10B0E">
              <w:rPr>
                <w:sz w:val="22"/>
                <w:szCs w:val="22"/>
              </w:rPr>
              <w:t>17.49</w:t>
            </w:r>
          </w:p>
        </w:tc>
        <w:tc>
          <w:tcPr>
            <w:tcW w:w="1846" w:type="dxa"/>
          </w:tcPr>
          <w:p w:rsidR="000A2F38" w:rsidRPr="00B10B0E" w:rsidRDefault="000A2F38">
            <w:pPr>
              <w:jc w:val="center"/>
              <w:rPr>
                <w:sz w:val="22"/>
                <w:szCs w:val="22"/>
              </w:rPr>
            </w:pPr>
            <w:r w:rsidRPr="00B10B0E">
              <w:rPr>
                <w:sz w:val="22"/>
                <w:szCs w:val="22"/>
              </w:rPr>
              <w:t>14.40</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4</w:t>
            </w:r>
          </w:p>
        </w:tc>
        <w:tc>
          <w:tcPr>
            <w:tcW w:w="1845" w:type="dxa"/>
          </w:tcPr>
          <w:p w:rsidR="000A2F38" w:rsidRPr="00B10B0E" w:rsidRDefault="000A2F38">
            <w:pPr>
              <w:jc w:val="center"/>
              <w:rPr>
                <w:sz w:val="22"/>
                <w:szCs w:val="22"/>
              </w:rPr>
            </w:pPr>
            <w:r w:rsidRPr="00B10B0E">
              <w:rPr>
                <w:sz w:val="22"/>
                <w:szCs w:val="22"/>
              </w:rPr>
              <w:t>7.41</w:t>
            </w:r>
          </w:p>
        </w:tc>
        <w:tc>
          <w:tcPr>
            <w:tcW w:w="1846" w:type="dxa"/>
          </w:tcPr>
          <w:p w:rsidR="000A2F38" w:rsidRPr="00B10B0E" w:rsidRDefault="000A2F38">
            <w:pPr>
              <w:jc w:val="center"/>
              <w:rPr>
                <w:sz w:val="22"/>
                <w:szCs w:val="22"/>
              </w:rPr>
            </w:pPr>
            <w:r w:rsidRPr="00B10B0E">
              <w:rPr>
                <w:sz w:val="22"/>
                <w:szCs w:val="22"/>
              </w:rPr>
              <w:t>11.52</w:t>
            </w:r>
          </w:p>
        </w:tc>
        <w:tc>
          <w:tcPr>
            <w:tcW w:w="1846" w:type="dxa"/>
          </w:tcPr>
          <w:p w:rsidR="000A2F38" w:rsidRPr="00B10B0E" w:rsidRDefault="000A2F38">
            <w:pPr>
              <w:jc w:val="center"/>
              <w:rPr>
                <w:sz w:val="22"/>
                <w:szCs w:val="22"/>
              </w:rPr>
            </w:pPr>
            <w:r w:rsidRPr="00B10B0E">
              <w:rPr>
                <w:sz w:val="22"/>
                <w:szCs w:val="22"/>
              </w:rPr>
              <w:t>12.49</w:t>
            </w:r>
          </w:p>
        </w:tc>
        <w:tc>
          <w:tcPr>
            <w:tcW w:w="1846" w:type="dxa"/>
          </w:tcPr>
          <w:p w:rsidR="000A2F38" w:rsidRPr="00B10B0E" w:rsidRDefault="000A2F38">
            <w:pPr>
              <w:jc w:val="center"/>
              <w:rPr>
                <w:sz w:val="22"/>
                <w:szCs w:val="22"/>
              </w:rPr>
            </w:pPr>
            <w:r w:rsidRPr="00B10B0E">
              <w:rPr>
                <w:sz w:val="22"/>
                <w:szCs w:val="22"/>
              </w:rPr>
              <w:t>11.52</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5</w:t>
            </w:r>
          </w:p>
        </w:tc>
        <w:tc>
          <w:tcPr>
            <w:tcW w:w="1845"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r w:rsidRPr="00B10B0E">
              <w:rPr>
                <w:sz w:val="22"/>
                <w:szCs w:val="22"/>
              </w:rPr>
              <w:t>11.52</w:t>
            </w:r>
          </w:p>
        </w:tc>
        <w:tc>
          <w:tcPr>
            <w:tcW w:w="1846" w:type="dxa"/>
          </w:tcPr>
          <w:p w:rsidR="000A2F38" w:rsidRPr="00B10B0E" w:rsidRDefault="000A2F38">
            <w:pPr>
              <w:jc w:val="center"/>
              <w:rPr>
                <w:sz w:val="22"/>
                <w:szCs w:val="22"/>
              </w:rPr>
            </w:pPr>
            <w:r w:rsidRPr="00B10B0E">
              <w:rPr>
                <w:sz w:val="22"/>
                <w:szCs w:val="22"/>
              </w:rPr>
              <w:t>8.93</w:t>
            </w:r>
          </w:p>
        </w:tc>
        <w:tc>
          <w:tcPr>
            <w:tcW w:w="1846" w:type="dxa"/>
          </w:tcPr>
          <w:p w:rsidR="000A2F38" w:rsidRPr="00B10B0E" w:rsidRDefault="000A2F38">
            <w:pPr>
              <w:jc w:val="center"/>
              <w:rPr>
                <w:sz w:val="22"/>
                <w:szCs w:val="22"/>
              </w:rPr>
            </w:pPr>
            <w:r w:rsidRPr="00B10B0E">
              <w:rPr>
                <w:sz w:val="22"/>
                <w:szCs w:val="22"/>
              </w:rPr>
              <w:t>9.22</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6</w:t>
            </w:r>
          </w:p>
        </w:tc>
        <w:tc>
          <w:tcPr>
            <w:tcW w:w="1845"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r w:rsidRPr="00B10B0E">
              <w:rPr>
                <w:sz w:val="22"/>
                <w:szCs w:val="22"/>
              </w:rPr>
              <w:t>5.76</w:t>
            </w:r>
          </w:p>
        </w:tc>
        <w:tc>
          <w:tcPr>
            <w:tcW w:w="1846" w:type="dxa"/>
          </w:tcPr>
          <w:p w:rsidR="000A2F38" w:rsidRPr="00B10B0E" w:rsidRDefault="000A2F38">
            <w:pPr>
              <w:jc w:val="center"/>
              <w:rPr>
                <w:sz w:val="22"/>
                <w:szCs w:val="22"/>
              </w:rPr>
            </w:pPr>
            <w:r w:rsidRPr="00B10B0E">
              <w:rPr>
                <w:sz w:val="22"/>
                <w:szCs w:val="22"/>
              </w:rPr>
              <w:t>8.92</w:t>
            </w:r>
          </w:p>
        </w:tc>
        <w:tc>
          <w:tcPr>
            <w:tcW w:w="1846" w:type="dxa"/>
          </w:tcPr>
          <w:p w:rsidR="000A2F38" w:rsidRPr="00B10B0E" w:rsidRDefault="000A2F38">
            <w:pPr>
              <w:jc w:val="center"/>
              <w:rPr>
                <w:sz w:val="22"/>
                <w:szCs w:val="22"/>
              </w:rPr>
            </w:pPr>
            <w:r w:rsidRPr="00B10B0E">
              <w:rPr>
                <w:sz w:val="22"/>
                <w:szCs w:val="22"/>
              </w:rPr>
              <w:t>7.37</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7</w:t>
            </w:r>
          </w:p>
        </w:tc>
        <w:tc>
          <w:tcPr>
            <w:tcW w:w="1845"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r w:rsidRPr="00B10B0E">
              <w:rPr>
                <w:sz w:val="22"/>
                <w:szCs w:val="22"/>
              </w:rPr>
              <w:t>8.93</w:t>
            </w:r>
          </w:p>
        </w:tc>
        <w:tc>
          <w:tcPr>
            <w:tcW w:w="1846" w:type="dxa"/>
          </w:tcPr>
          <w:p w:rsidR="000A2F38" w:rsidRPr="00B10B0E" w:rsidRDefault="000A2F38">
            <w:pPr>
              <w:jc w:val="center"/>
              <w:rPr>
                <w:sz w:val="22"/>
                <w:szCs w:val="22"/>
              </w:rPr>
            </w:pPr>
            <w:r w:rsidRPr="00B10B0E">
              <w:rPr>
                <w:sz w:val="22"/>
                <w:szCs w:val="22"/>
              </w:rPr>
              <w:t>6.55</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8</w:t>
            </w:r>
          </w:p>
        </w:tc>
        <w:tc>
          <w:tcPr>
            <w:tcW w:w="1845"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r w:rsidRPr="00B10B0E">
              <w:rPr>
                <w:sz w:val="22"/>
                <w:szCs w:val="22"/>
              </w:rPr>
              <w:t>4.46</w:t>
            </w:r>
          </w:p>
        </w:tc>
        <w:tc>
          <w:tcPr>
            <w:tcW w:w="1846" w:type="dxa"/>
          </w:tcPr>
          <w:p w:rsidR="000A2F38" w:rsidRPr="00B10B0E" w:rsidRDefault="000A2F38">
            <w:pPr>
              <w:jc w:val="center"/>
              <w:rPr>
                <w:sz w:val="22"/>
                <w:szCs w:val="22"/>
              </w:rPr>
            </w:pPr>
            <w:r w:rsidRPr="00B10B0E">
              <w:rPr>
                <w:sz w:val="22"/>
                <w:szCs w:val="22"/>
              </w:rPr>
              <w:t>6.55</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9</w:t>
            </w:r>
          </w:p>
        </w:tc>
        <w:tc>
          <w:tcPr>
            <w:tcW w:w="1845"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r w:rsidRPr="00B10B0E">
              <w:rPr>
                <w:sz w:val="22"/>
                <w:szCs w:val="22"/>
              </w:rPr>
              <w:t>6.56</w:t>
            </w:r>
          </w:p>
        </w:tc>
      </w:tr>
      <w:tr w:rsidR="000A2F38" w:rsidRPr="00B10B0E">
        <w:tblPrEx>
          <w:tblCellMar>
            <w:top w:w="0" w:type="dxa"/>
            <w:bottom w:w="0" w:type="dxa"/>
          </w:tblCellMar>
        </w:tblPrEx>
        <w:tc>
          <w:tcPr>
            <w:tcW w:w="1185" w:type="dxa"/>
          </w:tcPr>
          <w:p w:rsidR="000A2F38" w:rsidRPr="00B10B0E" w:rsidRDefault="000A2F38">
            <w:pPr>
              <w:jc w:val="center"/>
              <w:rPr>
                <w:b/>
                <w:bCs/>
                <w:sz w:val="22"/>
                <w:szCs w:val="22"/>
              </w:rPr>
            </w:pPr>
            <w:r w:rsidRPr="00B10B0E">
              <w:rPr>
                <w:b/>
                <w:bCs/>
                <w:sz w:val="22"/>
                <w:szCs w:val="22"/>
              </w:rPr>
              <w:t>10</w:t>
            </w:r>
          </w:p>
        </w:tc>
        <w:tc>
          <w:tcPr>
            <w:tcW w:w="1845"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p>
        </w:tc>
        <w:tc>
          <w:tcPr>
            <w:tcW w:w="1846" w:type="dxa"/>
          </w:tcPr>
          <w:p w:rsidR="000A2F38" w:rsidRPr="00B10B0E" w:rsidRDefault="000A2F38">
            <w:pPr>
              <w:jc w:val="center"/>
              <w:rPr>
                <w:sz w:val="22"/>
                <w:szCs w:val="22"/>
              </w:rPr>
            </w:pPr>
            <w:r w:rsidRPr="00B10B0E">
              <w:rPr>
                <w:sz w:val="22"/>
                <w:szCs w:val="22"/>
              </w:rPr>
              <w:t>6.55</w:t>
            </w:r>
          </w:p>
        </w:tc>
      </w:tr>
      <w:tr w:rsidR="000A2F38" w:rsidRPr="00B10B0E">
        <w:tblPrEx>
          <w:tblCellMar>
            <w:top w:w="0" w:type="dxa"/>
            <w:bottom w:w="0" w:type="dxa"/>
          </w:tblCellMar>
        </w:tblPrEx>
        <w:tc>
          <w:tcPr>
            <w:tcW w:w="1185" w:type="dxa"/>
            <w:tcBorders>
              <w:bottom w:val="single" w:sz="4" w:space="0" w:color="auto"/>
            </w:tcBorders>
          </w:tcPr>
          <w:p w:rsidR="000A2F38" w:rsidRPr="00B10B0E" w:rsidRDefault="000A2F38">
            <w:pPr>
              <w:jc w:val="center"/>
              <w:rPr>
                <w:b/>
                <w:bCs/>
                <w:sz w:val="22"/>
                <w:szCs w:val="22"/>
              </w:rPr>
            </w:pPr>
            <w:r w:rsidRPr="00B10B0E">
              <w:rPr>
                <w:b/>
                <w:bCs/>
                <w:sz w:val="22"/>
                <w:szCs w:val="22"/>
              </w:rPr>
              <w:t>11</w:t>
            </w:r>
          </w:p>
        </w:tc>
        <w:tc>
          <w:tcPr>
            <w:tcW w:w="1845" w:type="dxa"/>
            <w:tcBorders>
              <w:bottom w:val="single" w:sz="4" w:space="0" w:color="auto"/>
            </w:tcBorders>
          </w:tcPr>
          <w:p w:rsidR="000A2F38" w:rsidRPr="00B10B0E" w:rsidRDefault="000A2F38">
            <w:pPr>
              <w:jc w:val="center"/>
              <w:rPr>
                <w:sz w:val="22"/>
                <w:szCs w:val="22"/>
              </w:rPr>
            </w:pPr>
          </w:p>
        </w:tc>
        <w:tc>
          <w:tcPr>
            <w:tcW w:w="1846" w:type="dxa"/>
            <w:tcBorders>
              <w:bottom w:val="single" w:sz="4" w:space="0" w:color="auto"/>
            </w:tcBorders>
          </w:tcPr>
          <w:p w:rsidR="000A2F38" w:rsidRPr="00B10B0E" w:rsidRDefault="000A2F38">
            <w:pPr>
              <w:jc w:val="center"/>
              <w:rPr>
                <w:sz w:val="22"/>
                <w:szCs w:val="22"/>
              </w:rPr>
            </w:pPr>
          </w:p>
        </w:tc>
        <w:tc>
          <w:tcPr>
            <w:tcW w:w="1846" w:type="dxa"/>
            <w:tcBorders>
              <w:bottom w:val="single" w:sz="4" w:space="0" w:color="auto"/>
            </w:tcBorders>
          </w:tcPr>
          <w:p w:rsidR="000A2F38" w:rsidRPr="00B10B0E" w:rsidRDefault="000A2F38">
            <w:pPr>
              <w:jc w:val="center"/>
              <w:rPr>
                <w:sz w:val="22"/>
                <w:szCs w:val="22"/>
              </w:rPr>
            </w:pPr>
          </w:p>
        </w:tc>
        <w:tc>
          <w:tcPr>
            <w:tcW w:w="1846" w:type="dxa"/>
            <w:tcBorders>
              <w:bottom w:val="single" w:sz="4" w:space="0" w:color="auto"/>
            </w:tcBorders>
          </w:tcPr>
          <w:p w:rsidR="000A2F38" w:rsidRPr="00B10B0E" w:rsidRDefault="000A2F38">
            <w:pPr>
              <w:jc w:val="center"/>
              <w:rPr>
                <w:sz w:val="22"/>
                <w:szCs w:val="22"/>
              </w:rPr>
            </w:pPr>
            <w:r w:rsidRPr="00B10B0E">
              <w:rPr>
                <w:sz w:val="22"/>
                <w:szCs w:val="22"/>
              </w:rPr>
              <w:t>3.28</w:t>
            </w:r>
          </w:p>
        </w:tc>
      </w:tr>
      <w:tr w:rsidR="000A2F38" w:rsidRPr="00B10B0E">
        <w:tblPrEx>
          <w:tblCellMar>
            <w:top w:w="0" w:type="dxa"/>
            <w:bottom w:w="0" w:type="dxa"/>
          </w:tblCellMar>
        </w:tblPrEx>
        <w:tc>
          <w:tcPr>
            <w:tcW w:w="1185" w:type="dxa"/>
            <w:tcBorders>
              <w:top w:val="single" w:sz="4" w:space="0" w:color="auto"/>
              <w:bottom w:val="single" w:sz="4" w:space="0" w:color="auto"/>
            </w:tcBorders>
          </w:tcPr>
          <w:p w:rsidR="000A2F38" w:rsidRPr="00B10B0E" w:rsidRDefault="000A2F38">
            <w:pPr>
              <w:jc w:val="center"/>
              <w:rPr>
                <w:b/>
                <w:bCs/>
                <w:sz w:val="22"/>
                <w:szCs w:val="22"/>
              </w:rPr>
            </w:pPr>
            <w:r w:rsidRPr="00B10B0E">
              <w:rPr>
                <w:b/>
                <w:bCs/>
                <w:sz w:val="22"/>
                <w:szCs w:val="22"/>
              </w:rPr>
              <w:t>Totals</w:t>
            </w:r>
          </w:p>
        </w:tc>
        <w:tc>
          <w:tcPr>
            <w:tcW w:w="1845"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100.00%</w:t>
            </w:r>
          </w:p>
        </w:tc>
        <w:tc>
          <w:tcPr>
            <w:tcW w:w="1846"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100.00%</w:t>
            </w:r>
          </w:p>
        </w:tc>
        <w:tc>
          <w:tcPr>
            <w:tcW w:w="1846"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100.00%</w:t>
            </w:r>
          </w:p>
        </w:tc>
        <w:tc>
          <w:tcPr>
            <w:tcW w:w="1846"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100.00%</w:t>
            </w:r>
          </w:p>
        </w:tc>
      </w:tr>
    </w:tbl>
    <w:p w:rsidR="000A2F38" w:rsidRPr="00B10B0E" w:rsidRDefault="000A2F38">
      <w:pPr>
        <w:ind w:left="360" w:hanging="360"/>
        <w:rPr>
          <w:sz w:val="22"/>
          <w:szCs w:val="22"/>
        </w:rPr>
      </w:pPr>
    </w:p>
    <w:p w:rsidR="00582801" w:rsidRPr="00B10B0E" w:rsidRDefault="00582801" w:rsidP="00582801">
      <w:pPr>
        <w:pStyle w:val="Default"/>
        <w:ind w:left="360" w:hanging="360"/>
        <w:rPr>
          <w:sz w:val="22"/>
          <w:szCs w:val="22"/>
        </w:rPr>
      </w:pPr>
      <w:r w:rsidRPr="00B10B0E">
        <w:rPr>
          <w:sz w:val="22"/>
          <w:szCs w:val="22"/>
        </w:rPr>
        <w:t>3.</w:t>
      </w:r>
      <w:r w:rsidRPr="00B10B0E">
        <w:rPr>
          <w:sz w:val="22"/>
          <w:szCs w:val="22"/>
        </w:rPr>
        <w:tab/>
      </w:r>
      <w:proofErr w:type="spellStart"/>
      <w:r w:rsidRPr="00B10B0E">
        <w:rPr>
          <w:sz w:val="22"/>
          <w:szCs w:val="22"/>
        </w:rPr>
        <w:t>Tripex</w:t>
      </w:r>
      <w:proofErr w:type="spellEnd"/>
      <w:r w:rsidRPr="00B10B0E">
        <w:rPr>
          <w:sz w:val="22"/>
          <w:szCs w:val="22"/>
        </w:rPr>
        <w:t xml:space="preserve"> Consolidated Industries owns $1.5 million in 12 percent bonds of Solow Electronics Company.  It also owns 100,000 shares of preferred stock of Solow, which constitutes 10 percent of all outstanding Solow preferred shares. </w:t>
      </w:r>
      <w:r w:rsidR="00B10B0E">
        <w:rPr>
          <w:sz w:val="22"/>
          <w:szCs w:val="22"/>
        </w:rPr>
        <w:t xml:space="preserve"> </w:t>
      </w:r>
      <w:r w:rsidRPr="00B10B0E">
        <w:rPr>
          <w:sz w:val="22"/>
          <w:szCs w:val="22"/>
        </w:rPr>
        <w:t>In the past year</w:t>
      </w:r>
      <w:r w:rsidR="00B10B0E">
        <w:rPr>
          <w:sz w:val="22"/>
          <w:szCs w:val="22"/>
        </w:rPr>
        <w:t>,</w:t>
      </w:r>
      <w:r w:rsidRPr="00B10B0E">
        <w:rPr>
          <w:sz w:val="22"/>
          <w:szCs w:val="22"/>
        </w:rPr>
        <w:t xml:space="preserve"> Solow paid the stipulated interest on its bonds and dividends of $3 per share on its preferred stock.  The marginal tax rate of </w:t>
      </w:r>
      <w:proofErr w:type="spellStart"/>
      <w:r w:rsidRPr="00B10B0E">
        <w:rPr>
          <w:sz w:val="22"/>
          <w:szCs w:val="22"/>
        </w:rPr>
        <w:t>Tripex</w:t>
      </w:r>
      <w:proofErr w:type="spellEnd"/>
      <w:r w:rsidRPr="00B10B0E">
        <w:rPr>
          <w:sz w:val="22"/>
          <w:szCs w:val="22"/>
        </w:rPr>
        <w:t xml:space="preserve"> is 34%.  What taxes must </w:t>
      </w:r>
      <w:proofErr w:type="spellStart"/>
      <w:r w:rsidRPr="00B10B0E">
        <w:rPr>
          <w:sz w:val="22"/>
          <w:szCs w:val="22"/>
        </w:rPr>
        <w:t>Tripex</w:t>
      </w:r>
      <w:proofErr w:type="spellEnd"/>
      <w:r w:rsidRPr="00B10B0E">
        <w:rPr>
          <w:sz w:val="22"/>
          <w:szCs w:val="22"/>
        </w:rPr>
        <w:t xml:space="preserve"> pay on this interest and dividend income? </w:t>
      </w:r>
    </w:p>
    <w:p w:rsidR="00582801" w:rsidRPr="00B10B0E" w:rsidRDefault="00582801">
      <w:pPr>
        <w:pStyle w:val="BodyTextIndent"/>
        <w:rPr>
          <w:sz w:val="22"/>
          <w:szCs w:val="22"/>
        </w:rPr>
      </w:pPr>
    </w:p>
    <w:p w:rsidR="000A2F38" w:rsidRPr="00B10B0E" w:rsidRDefault="000A2F38">
      <w:pPr>
        <w:pStyle w:val="BodyTextIndent"/>
        <w:rPr>
          <w:sz w:val="22"/>
          <w:szCs w:val="22"/>
        </w:rPr>
      </w:pPr>
      <w:r w:rsidRPr="00B10B0E">
        <w:rPr>
          <w:sz w:val="22"/>
          <w:szCs w:val="22"/>
        </w:rPr>
        <w:t>4.</w:t>
      </w:r>
      <w:r w:rsidRPr="00B10B0E">
        <w:rPr>
          <w:sz w:val="22"/>
          <w:szCs w:val="22"/>
        </w:rPr>
        <w:tab/>
        <w:t>The Castle Cork Company was founded in 20X1 and had the following taxable income through 20X5:</w:t>
      </w:r>
    </w:p>
    <w:p w:rsidR="000A2F38" w:rsidRPr="00B10B0E" w:rsidRDefault="000A2F38">
      <w:pPr>
        <w:ind w:left="360" w:hanging="360"/>
        <w:rPr>
          <w:sz w:val="22"/>
          <w:szCs w:val="22"/>
        </w:rPr>
      </w:pPr>
    </w:p>
    <w:tbl>
      <w:tblPr>
        <w:tblW w:w="0" w:type="auto"/>
        <w:tblInd w:w="1008" w:type="dxa"/>
        <w:tblBorders>
          <w:bottom w:val="single" w:sz="4" w:space="0" w:color="auto"/>
        </w:tblBorders>
        <w:tblLook w:val="0000" w:firstRow="0" w:lastRow="0" w:firstColumn="0" w:lastColumn="0" w:noHBand="0" w:noVBand="0"/>
      </w:tblPr>
      <w:tblGrid>
        <w:gridCol w:w="1713"/>
        <w:gridCol w:w="1714"/>
        <w:gridCol w:w="1713"/>
        <w:gridCol w:w="1714"/>
        <w:gridCol w:w="1714"/>
      </w:tblGrid>
      <w:tr w:rsidR="000A2F38" w:rsidRPr="00B10B0E">
        <w:tblPrEx>
          <w:tblCellMar>
            <w:top w:w="0" w:type="dxa"/>
            <w:bottom w:w="0" w:type="dxa"/>
          </w:tblCellMar>
        </w:tblPrEx>
        <w:tc>
          <w:tcPr>
            <w:tcW w:w="1713"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20X1</w:t>
            </w:r>
          </w:p>
        </w:tc>
        <w:tc>
          <w:tcPr>
            <w:tcW w:w="1714"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20X2</w:t>
            </w:r>
          </w:p>
        </w:tc>
        <w:tc>
          <w:tcPr>
            <w:tcW w:w="1713"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20X3</w:t>
            </w:r>
          </w:p>
        </w:tc>
        <w:tc>
          <w:tcPr>
            <w:tcW w:w="1714"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20X4</w:t>
            </w:r>
          </w:p>
        </w:tc>
        <w:tc>
          <w:tcPr>
            <w:tcW w:w="1714"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20X5</w:t>
            </w:r>
          </w:p>
        </w:tc>
      </w:tr>
      <w:tr w:rsidR="000A2F38" w:rsidRPr="00B10B0E">
        <w:tblPrEx>
          <w:tblCellMar>
            <w:top w:w="0" w:type="dxa"/>
            <w:bottom w:w="0" w:type="dxa"/>
          </w:tblCellMar>
        </w:tblPrEx>
        <w:tc>
          <w:tcPr>
            <w:tcW w:w="1713" w:type="dxa"/>
            <w:tcBorders>
              <w:top w:val="single" w:sz="4" w:space="0" w:color="auto"/>
              <w:bottom w:val="nil"/>
            </w:tcBorders>
          </w:tcPr>
          <w:p w:rsidR="000A2F38" w:rsidRPr="00B10B0E" w:rsidRDefault="000A2F38">
            <w:pPr>
              <w:jc w:val="center"/>
              <w:rPr>
                <w:sz w:val="22"/>
                <w:szCs w:val="22"/>
              </w:rPr>
            </w:pPr>
            <w:r w:rsidRPr="00B10B0E">
              <w:rPr>
                <w:sz w:val="22"/>
                <w:szCs w:val="22"/>
              </w:rPr>
              <w:t>$0</w:t>
            </w:r>
          </w:p>
        </w:tc>
        <w:tc>
          <w:tcPr>
            <w:tcW w:w="1714" w:type="dxa"/>
            <w:tcBorders>
              <w:top w:val="single" w:sz="4" w:space="0" w:color="auto"/>
              <w:bottom w:val="nil"/>
            </w:tcBorders>
          </w:tcPr>
          <w:p w:rsidR="000A2F38" w:rsidRPr="00B10B0E" w:rsidRDefault="000A2F38">
            <w:pPr>
              <w:jc w:val="center"/>
              <w:rPr>
                <w:sz w:val="22"/>
                <w:szCs w:val="22"/>
              </w:rPr>
            </w:pPr>
            <w:r w:rsidRPr="00B10B0E">
              <w:rPr>
                <w:sz w:val="22"/>
                <w:szCs w:val="22"/>
              </w:rPr>
              <w:t>$35,000</w:t>
            </w:r>
          </w:p>
        </w:tc>
        <w:tc>
          <w:tcPr>
            <w:tcW w:w="1713" w:type="dxa"/>
            <w:tcBorders>
              <w:top w:val="single" w:sz="4" w:space="0" w:color="auto"/>
              <w:bottom w:val="nil"/>
            </w:tcBorders>
          </w:tcPr>
          <w:p w:rsidR="000A2F38" w:rsidRPr="00B10B0E" w:rsidRDefault="000A2F38">
            <w:pPr>
              <w:jc w:val="center"/>
              <w:rPr>
                <w:sz w:val="22"/>
                <w:szCs w:val="22"/>
              </w:rPr>
            </w:pPr>
            <w:r w:rsidRPr="00B10B0E">
              <w:rPr>
                <w:sz w:val="22"/>
                <w:szCs w:val="22"/>
              </w:rPr>
              <w:t>$68,000</w:t>
            </w:r>
          </w:p>
        </w:tc>
        <w:tc>
          <w:tcPr>
            <w:tcW w:w="1714" w:type="dxa"/>
            <w:tcBorders>
              <w:top w:val="single" w:sz="4" w:space="0" w:color="auto"/>
              <w:bottom w:val="nil"/>
            </w:tcBorders>
          </w:tcPr>
          <w:p w:rsidR="000A2F38" w:rsidRPr="00B10B0E" w:rsidRDefault="000A2F38">
            <w:pPr>
              <w:jc w:val="center"/>
              <w:rPr>
                <w:sz w:val="22"/>
                <w:szCs w:val="22"/>
              </w:rPr>
            </w:pPr>
            <w:r w:rsidRPr="00B10B0E">
              <w:rPr>
                <w:sz w:val="22"/>
                <w:szCs w:val="22"/>
              </w:rPr>
              <w:t>-$120,000</w:t>
            </w:r>
          </w:p>
        </w:tc>
        <w:tc>
          <w:tcPr>
            <w:tcW w:w="1714" w:type="dxa"/>
            <w:tcBorders>
              <w:top w:val="single" w:sz="4" w:space="0" w:color="auto"/>
              <w:bottom w:val="nil"/>
            </w:tcBorders>
          </w:tcPr>
          <w:p w:rsidR="000A2F38" w:rsidRPr="00B10B0E" w:rsidRDefault="000A2F38">
            <w:pPr>
              <w:jc w:val="center"/>
              <w:rPr>
                <w:sz w:val="22"/>
                <w:szCs w:val="22"/>
              </w:rPr>
            </w:pPr>
            <w:r w:rsidRPr="00B10B0E">
              <w:rPr>
                <w:sz w:val="22"/>
                <w:szCs w:val="22"/>
              </w:rPr>
              <w:t>$52,000</w:t>
            </w:r>
          </w:p>
        </w:tc>
      </w:tr>
    </w:tbl>
    <w:p w:rsidR="000A2F38" w:rsidRPr="00B10B0E" w:rsidRDefault="000A2F38">
      <w:pPr>
        <w:ind w:left="360"/>
        <w:rPr>
          <w:sz w:val="22"/>
          <w:szCs w:val="22"/>
        </w:rPr>
      </w:pPr>
    </w:p>
    <w:p w:rsidR="000A2F38" w:rsidRPr="00B10B0E" w:rsidRDefault="000A2F38">
      <w:pPr>
        <w:pStyle w:val="BodyTextIndent2"/>
        <w:rPr>
          <w:sz w:val="22"/>
          <w:szCs w:val="22"/>
        </w:rPr>
      </w:pPr>
      <w:r w:rsidRPr="00B10B0E">
        <w:rPr>
          <w:sz w:val="22"/>
          <w:szCs w:val="22"/>
        </w:rPr>
        <w:t>Compute the corporate income tax refund in each year, assuming the graduated tax rates discussed in the chapter.</w:t>
      </w:r>
    </w:p>
    <w:p w:rsidR="000A2F38" w:rsidRPr="00B10B0E" w:rsidRDefault="000A2F38">
      <w:pPr>
        <w:ind w:left="360"/>
        <w:rPr>
          <w:sz w:val="22"/>
          <w:szCs w:val="22"/>
        </w:rPr>
      </w:pPr>
    </w:p>
    <w:p w:rsidR="000A2F38" w:rsidRPr="00B10B0E" w:rsidRDefault="000A2F38" w:rsidP="00B10B0E">
      <w:pPr>
        <w:ind w:left="360"/>
        <w:jc w:val="center"/>
        <w:rPr>
          <w:sz w:val="22"/>
          <w:szCs w:val="22"/>
        </w:rPr>
      </w:pPr>
      <w:r w:rsidRPr="00B10B0E">
        <w:rPr>
          <w:sz w:val="22"/>
          <w:szCs w:val="22"/>
        </w:rPr>
        <w:t>CORPORATE INCOME TAX</w:t>
      </w:r>
    </w:p>
    <w:tbl>
      <w:tblPr>
        <w:tblW w:w="0" w:type="auto"/>
        <w:tblInd w:w="1008" w:type="dxa"/>
        <w:tblLook w:val="0000" w:firstRow="0" w:lastRow="0" w:firstColumn="0" w:lastColumn="0" w:noHBand="0" w:noVBand="0"/>
      </w:tblPr>
      <w:tblGrid>
        <w:gridCol w:w="1530"/>
        <w:gridCol w:w="1710"/>
        <w:gridCol w:w="1080"/>
        <w:gridCol w:w="4248"/>
      </w:tblGrid>
      <w:tr w:rsidR="000A2F38" w:rsidRPr="00B10B0E">
        <w:tblPrEx>
          <w:tblCellMar>
            <w:top w:w="0" w:type="dxa"/>
            <w:bottom w:w="0" w:type="dxa"/>
          </w:tblCellMar>
        </w:tblPrEx>
        <w:trPr>
          <w:cantSplit/>
        </w:trPr>
        <w:tc>
          <w:tcPr>
            <w:tcW w:w="3240" w:type="dxa"/>
            <w:gridSpan w:val="2"/>
            <w:tcBorders>
              <w:bottom w:val="single" w:sz="4" w:space="0" w:color="auto"/>
            </w:tcBorders>
          </w:tcPr>
          <w:p w:rsidR="000A2F38" w:rsidRPr="00B10B0E" w:rsidRDefault="000A2F38">
            <w:pPr>
              <w:jc w:val="center"/>
              <w:rPr>
                <w:sz w:val="22"/>
                <w:szCs w:val="22"/>
              </w:rPr>
            </w:pPr>
            <w:r w:rsidRPr="00B10B0E">
              <w:rPr>
                <w:sz w:val="22"/>
                <w:szCs w:val="22"/>
              </w:rPr>
              <w:t>Corporate Taxable Income</w:t>
            </w:r>
          </w:p>
        </w:tc>
        <w:tc>
          <w:tcPr>
            <w:tcW w:w="1080" w:type="dxa"/>
            <w:vMerge w:val="restart"/>
          </w:tcPr>
          <w:p w:rsidR="000A2F38" w:rsidRPr="00B10B0E" w:rsidRDefault="000A2F38">
            <w:pPr>
              <w:jc w:val="center"/>
              <w:rPr>
                <w:sz w:val="22"/>
                <w:szCs w:val="22"/>
              </w:rPr>
            </w:pPr>
            <w:r w:rsidRPr="00B10B0E">
              <w:rPr>
                <w:sz w:val="22"/>
                <w:szCs w:val="22"/>
              </w:rPr>
              <w:t>Tax Rate</w:t>
            </w:r>
            <w:r w:rsidR="006230D7" w:rsidRPr="00B10B0E">
              <w:rPr>
                <w:sz w:val="22"/>
                <w:szCs w:val="22"/>
              </w:rPr>
              <w:t xml:space="preserve"> </w:t>
            </w:r>
            <w:r w:rsidRPr="00B10B0E">
              <w:rPr>
                <w:sz w:val="22"/>
                <w:szCs w:val="22"/>
              </w:rPr>
              <w:t>(%)</w:t>
            </w:r>
          </w:p>
        </w:tc>
        <w:tc>
          <w:tcPr>
            <w:tcW w:w="4248" w:type="dxa"/>
            <w:vMerge w:val="restart"/>
          </w:tcPr>
          <w:p w:rsidR="000A2F38" w:rsidRPr="00B10B0E" w:rsidRDefault="000A2F38">
            <w:pPr>
              <w:jc w:val="center"/>
              <w:rPr>
                <w:sz w:val="22"/>
                <w:szCs w:val="22"/>
              </w:rPr>
            </w:pPr>
          </w:p>
          <w:p w:rsidR="000A2F38" w:rsidRPr="00B10B0E" w:rsidRDefault="000A2F38">
            <w:pPr>
              <w:jc w:val="center"/>
              <w:rPr>
                <w:sz w:val="22"/>
                <w:szCs w:val="22"/>
              </w:rPr>
            </w:pPr>
            <w:r w:rsidRPr="00B10B0E">
              <w:rPr>
                <w:sz w:val="22"/>
                <w:szCs w:val="22"/>
              </w:rPr>
              <w:t>Tax Calculation</w:t>
            </w:r>
          </w:p>
        </w:tc>
      </w:tr>
      <w:tr w:rsidR="000A2F38" w:rsidRPr="00B10B0E">
        <w:tblPrEx>
          <w:tblCellMar>
            <w:top w:w="0" w:type="dxa"/>
            <w:bottom w:w="0" w:type="dxa"/>
          </w:tblCellMar>
        </w:tblPrEx>
        <w:trPr>
          <w:cantSplit/>
        </w:trPr>
        <w:tc>
          <w:tcPr>
            <w:tcW w:w="1530"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At Least</w:t>
            </w:r>
          </w:p>
        </w:tc>
        <w:tc>
          <w:tcPr>
            <w:tcW w:w="1710" w:type="dxa"/>
            <w:tcBorders>
              <w:top w:val="single" w:sz="4" w:space="0" w:color="auto"/>
              <w:bottom w:val="single" w:sz="4" w:space="0" w:color="auto"/>
            </w:tcBorders>
          </w:tcPr>
          <w:p w:rsidR="000A2F38" w:rsidRPr="00B10B0E" w:rsidRDefault="000A2F38">
            <w:pPr>
              <w:jc w:val="center"/>
              <w:rPr>
                <w:sz w:val="22"/>
                <w:szCs w:val="22"/>
              </w:rPr>
            </w:pPr>
            <w:r w:rsidRPr="00B10B0E">
              <w:rPr>
                <w:sz w:val="22"/>
                <w:szCs w:val="22"/>
              </w:rPr>
              <w:t>But Less Than</w:t>
            </w:r>
          </w:p>
        </w:tc>
        <w:tc>
          <w:tcPr>
            <w:tcW w:w="1080" w:type="dxa"/>
            <w:vMerge/>
            <w:tcBorders>
              <w:bottom w:val="single" w:sz="4" w:space="0" w:color="auto"/>
            </w:tcBorders>
          </w:tcPr>
          <w:p w:rsidR="000A2F38" w:rsidRPr="00B10B0E" w:rsidRDefault="000A2F38">
            <w:pPr>
              <w:jc w:val="center"/>
              <w:rPr>
                <w:sz w:val="22"/>
                <w:szCs w:val="22"/>
              </w:rPr>
            </w:pPr>
          </w:p>
        </w:tc>
        <w:tc>
          <w:tcPr>
            <w:tcW w:w="4248" w:type="dxa"/>
            <w:vMerge/>
            <w:tcBorders>
              <w:bottom w:val="single" w:sz="4" w:space="0" w:color="auto"/>
            </w:tcBorders>
          </w:tcPr>
          <w:p w:rsidR="000A2F38" w:rsidRPr="00B10B0E" w:rsidRDefault="000A2F38">
            <w:pPr>
              <w:jc w:val="center"/>
              <w:rPr>
                <w:sz w:val="22"/>
                <w:szCs w:val="22"/>
              </w:rPr>
            </w:pPr>
          </w:p>
        </w:tc>
      </w:tr>
      <w:tr w:rsidR="000A2F38" w:rsidRPr="00B10B0E">
        <w:tblPrEx>
          <w:tblCellMar>
            <w:top w:w="0" w:type="dxa"/>
            <w:bottom w:w="0" w:type="dxa"/>
          </w:tblCellMar>
        </w:tblPrEx>
        <w:tc>
          <w:tcPr>
            <w:tcW w:w="1530" w:type="dxa"/>
            <w:tcBorders>
              <w:top w:val="single" w:sz="4" w:space="0" w:color="auto"/>
            </w:tcBorders>
          </w:tcPr>
          <w:p w:rsidR="000A2F38" w:rsidRPr="00B10B0E" w:rsidRDefault="000A2F38">
            <w:pPr>
              <w:ind w:right="252"/>
              <w:jc w:val="right"/>
              <w:rPr>
                <w:sz w:val="22"/>
                <w:szCs w:val="22"/>
              </w:rPr>
            </w:pPr>
            <w:r w:rsidRPr="00B10B0E">
              <w:rPr>
                <w:sz w:val="22"/>
                <w:szCs w:val="22"/>
              </w:rPr>
              <w:t>$0</w:t>
            </w:r>
          </w:p>
        </w:tc>
        <w:tc>
          <w:tcPr>
            <w:tcW w:w="1710" w:type="dxa"/>
            <w:tcBorders>
              <w:top w:val="single" w:sz="4" w:space="0" w:color="auto"/>
            </w:tcBorders>
          </w:tcPr>
          <w:p w:rsidR="000A2F38" w:rsidRPr="00B10B0E" w:rsidRDefault="000A2F38">
            <w:pPr>
              <w:ind w:right="252"/>
              <w:jc w:val="right"/>
              <w:rPr>
                <w:sz w:val="22"/>
                <w:szCs w:val="22"/>
              </w:rPr>
            </w:pPr>
            <w:r w:rsidRPr="00B10B0E">
              <w:rPr>
                <w:sz w:val="22"/>
                <w:szCs w:val="22"/>
              </w:rPr>
              <w:t>$50,000</w:t>
            </w:r>
          </w:p>
        </w:tc>
        <w:tc>
          <w:tcPr>
            <w:tcW w:w="1080" w:type="dxa"/>
            <w:tcBorders>
              <w:top w:val="single" w:sz="4" w:space="0" w:color="auto"/>
            </w:tcBorders>
          </w:tcPr>
          <w:p w:rsidR="000A2F38" w:rsidRPr="00B10B0E" w:rsidRDefault="000A2F38">
            <w:pPr>
              <w:jc w:val="center"/>
              <w:rPr>
                <w:sz w:val="22"/>
                <w:szCs w:val="22"/>
              </w:rPr>
            </w:pPr>
            <w:r w:rsidRPr="00B10B0E">
              <w:rPr>
                <w:sz w:val="22"/>
                <w:szCs w:val="22"/>
              </w:rPr>
              <w:t>15</w:t>
            </w:r>
          </w:p>
        </w:tc>
        <w:tc>
          <w:tcPr>
            <w:tcW w:w="4248" w:type="dxa"/>
            <w:tcBorders>
              <w:top w:val="single" w:sz="4" w:space="0" w:color="auto"/>
            </w:tcBorders>
          </w:tcPr>
          <w:p w:rsidR="000A2F38" w:rsidRPr="00B10B0E" w:rsidRDefault="000A2F38">
            <w:pPr>
              <w:jc w:val="center"/>
              <w:rPr>
                <w:sz w:val="22"/>
                <w:szCs w:val="22"/>
              </w:rPr>
            </w:pPr>
            <w:r w:rsidRPr="00B10B0E">
              <w:rPr>
                <w:sz w:val="22"/>
                <w:szCs w:val="22"/>
              </w:rPr>
              <w:t>.15 x (income over $0)</w:t>
            </w:r>
          </w:p>
        </w:tc>
      </w:tr>
      <w:tr w:rsidR="000A2F38" w:rsidRPr="00B10B0E">
        <w:tblPrEx>
          <w:tblCellMar>
            <w:top w:w="0" w:type="dxa"/>
            <w:bottom w:w="0" w:type="dxa"/>
          </w:tblCellMar>
        </w:tblPrEx>
        <w:tc>
          <w:tcPr>
            <w:tcW w:w="1530" w:type="dxa"/>
          </w:tcPr>
          <w:p w:rsidR="000A2F38" w:rsidRPr="00B10B0E" w:rsidRDefault="000A2F38">
            <w:pPr>
              <w:ind w:right="252"/>
              <w:jc w:val="right"/>
              <w:rPr>
                <w:sz w:val="22"/>
                <w:szCs w:val="22"/>
              </w:rPr>
            </w:pPr>
            <w:r w:rsidRPr="00B10B0E">
              <w:rPr>
                <w:sz w:val="22"/>
                <w:szCs w:val="22"/>
              </w:rPr>
              <w:t>50,000</w:t>
            </w:r>
          </w:p>
        </w:tc>
        <w:tc>
          <w:tcPr>
            <w:tcW w:w="1710" w:type="dxa"/>
          </w:tcPr>
          <w:p w:rsidR="000A2F38" w:rsidRPr="00B10B0E" w:rsidRDefault="000A2F38">
            <w:pPr>
              <w:ind w:right="252"/>
              <w:jc w:val="right"/>
              <w:rPr>
                <w:sz w:val="22"/>
                <w:szCs w:val="22"/>
              </w:rPr>
            </w:pPr>
            <w:r w:rsidRPr="00B10B0E">
              <w:rPr>
                <w:sz w:val="22"/>
                <w:szCs w:val="22"/>
              </w:rPr>
              <w:t>75,000</w:t>
            </w:r>
          </w:p>
        </w:tc>
        <w:tc>
          <w:tcPr>
            <w:tcW w:w="1080" w:type="dxa"/>
          </w:tcPr>
          <w:p w:rsidR="000A2F38" w:rsidRPr="00B10B0E" w:rsidRDefault="000A2F38">
            <w:pPr>
              <w:jc w:val="center"/>
              <w:rPr>
                <w:sz w:val="22"/>
                <w:szCs w:val="22"/>
              </w:rPr>
            </w:pPr>
            <w:r w:rsidRPr="00B10B0E">
              <w:rPr>
                <w:sz w:val="22"/>
                <w:szCs w:val="22"/>
              </w:rPr>
              <w:t>25</w:t>
            </w:r>
          </w:p>
        </w:tc>
        <w:tc>
          <w:tcPr>
            <w:tcW w:w="4248" w:type="dxa"/>
          </w:tcPr>
          <w:p w:rsidR="000A2F38" w:rsidRPr="00B10B0E" w:rsidRDefault="000A2F38">
            <w:pPr>
              <w:jc w:val="center"/>
              <w:rPr>
                <w:sz w:val="22"/>
                <w:szCs w:val="22"/>
              </w:rPr>
            </w:pPr>
            <w:r w:rsidRPr="00B10B0E">
              <w:rPr>
                <w:sz w:val="22"/>
                <w:szCs w:val="22"/>
              </w:rPr>
              <w:t>$7,500 + .25 x (income over 50,000)</w:t>
            </w:r>
          </w:p>
        </w:tc>
      </w:tr>
      <w:tr w:rsidR="000A2F38" w:rsidRPr="00B10B0E">
        <w:tblPrEx>
          <w:tblCellMar>
            <w:top w:w="0" w:type="dxa"/>
            <w:bottom w:w="0" w:type="dxa"/>
          </w:tblCellMar>
        </w:tblPrEx>
        <w:tc>
          <w:tcPr>
            <w:tcW w:w="1530" w:type="dxa"/>
          </w:tcPr>
          <w:p w:rsidR="000A2F38" w:rsidRPr="00B10B0E" w:rsidRDefault="000A2F38">
            <w:pPr>
              <w:ind w:right="252"/>
              <w:jc w:val="right"/>
              <w:rPr>
                <w:sz w:val="22"/>
                <w:szCs w:val="22"/>
              </w:rPr>
            </w:pPr>
            <w:r w:rsidRPr="00B10B0E">
              <w:rPr>
                <w:sz w:val="22"/>
                <w:szCs w:val="22"/>
              </w:rPr>
              <w:t>75,000</w:t>
            </w:r>
          </w:p>
        </w:tc>
        <w:tc>
          <w:tcPr>
            <w:tcW w:w="1710" w:type="dxa"/>
          </w:tcPr>
          <w:p w:rsidR="000A2F38" w:rsidRPr="00B10B0E" w:rsidRDefault="000A2F38">
            <w:pPr>
              <w:ind w:right="252"/>
              <w:jc w:val="right"/>
              <w:rPr>
                <w:sz w:val="22"/>
                <w:szCs w:val="22"/>
              </w:rPr>
            </w:pPr>
            <w:r w:rsidRPr="00B10B0E">
              <w:rPr>
                <w:sz w:val="22"/>
                <w:szCs w:val="22"/>
              </w:rPr>
              <w:t>100,000</w:t>
            </w:r>
          </w:p>
        </w:tc>
        <w:tc>
          <w:tcPr>
            <w:tcW w:w="1080" w:type="dxa"/>
          </w:tcPr>
          <w:p w:rsidR="000A2F38" w:rsidRPr="00B10B0E" w:rsidRDefault="000A2F38">
            <w:pPr>
              <w:jc w:val="center"/>
              <w:rPr>
                <w:sz w:val="22"/>
                <w:szCs w:val="22"/>
              </w:rPr>
            </w:pPr>
            <w:r w:rsidRPr="00B10B0E">
              <w:rPr>
                <w:sz w:val="22"/>
                <w:szCs w:val="22"/>
              </w:rPr>
              <w:t>34</w:t>
            </w:r>
          </w:p>
        </w:tc>
        <w:tc>
          <w:tcPr>
            <w:tcW w:w="4248" w:type="dxa"/>
          </w:tcPr>
          <w:p w:rsidR="000A2F38" w:rsidRPr="00B10B0E" w:rsidRDefault="000A2F38">
            <w:pPr>
              <w:jc w:val="center"/>
              <w:rPr>
                <w:sz w:val="22"/>
                <w:szCs w:val="22"/>
              </w:rPr>
            </w:pPr>
            <w:r w:rsidRPr="00B10B0E">
              <w:rPr>
                <w:sz w:val="22"/>
                <w:szCs w:val="22"/>
              </w:rPr>
              <w:t>13,750 + .34 x (income over 75,000)</w:t>
            </w:r>
          </w:p>
        </w:tc>
      </w:tr>
      <w:tr w:rsidR="000A2F38" w:rsidRPr="00B10B0E">
        <w:tblPrEx>
          <w:tblCellMar>
            <w:top w:w="0" w:type="dxa"/>
            <w:bottom w:w="0" w:type="dxa"/>
          </w:tblCellMar>
        </w:tblPrEx>
        <w:tc>
          <w:tcPr>
            <w:tcW w:w="1530" w:type="dxa"/>
          </w:tcPr>
          <w:p w:rsidR="000A2F38" w:rsidRPr="00B10B0E" w:rsidRDefault="000A2F38">
            <w:pPr>
              <w:ind w:right="252"/>
              <w:jc w:val="right"/>
              <w:rPr>
                <w:sz w:val="22"/>
                <w:szCs w:val="22"/>
              </w:rPr>
            </w:pPr>
            <w:r w:rsidRPr="00B10B0E">
              <w:rPr>
                <w:sz w:val="22"/>
                <w:szCs w:val="22"/>
              </w:rPr>
              <w:t>100,000</w:t>
            </w:r>
          </w:p>
        </w:tc>
        <w:tc>
          <w:tcPr>
            <w:tcW w:w="1710" w:type="dxa"/>
          </w:tcPr>
          <w:p w:rsidR="000A2F38" w:rsidRPr="00B10B0E" w:rsidRDefault="000A2F38">
            <w:pPr>
              <w:ind w:right="252"/>
              <w:jc w:val="right"/>
              <w:rPr>
                <w:sz w:val="22"/>
                <w:szCs w:val="22"/>
              </w:rPr>
            </w:pPr>
            <w:r w:rsidRPr="00B10B0E">
              <w:rPr>
                <w:sz w:val="22"/>
                <w:szCs w:val="22"/>
              </w:rPr>
              <w:t>335,000</w:t>
            </w:r>
          </w:p>
        </w:tc>
        <w:tc>
          <w:tcPr>
            <w:tcW w:w="1080" w:type="dxa"/>
          </w:tcPr>
          <w:p w:rsidR="000A2F38" w:rsidRPr="00B10B0E" w:rsidRDefault="000A2F38">
            <w:pPr>
              <w:jc w:val="center"/>
              <w:rPr>
                <w:sz w:val="22"/>
                <w:szCs w:val="22"/>
              </w:rPr>
            </w:pPr>
            <w:r w:rsidRPr="00B10B0E">
              <w:rPr>
                <w:sz w:val="22"/>
                <w:szCs w:val="22"/>
              </w:rPr>
              <w:t>39</w:t>
            </w:r>
          </w:p>
        </w:tc>
        <w:tc>
          <w:tcPr>
            <w:tcW w:w="4248" w:type="dxa"/>
          </w:tcPr>
          <w:p w:rsidR="000A2F38" w:rsidRPr="00B10B0E" w:rsidRDefault="000A2F38">
            <w:pPr>
              <w:jc w:val="center"/>
              <w:rPr>
                <w:sz w:val="22"/>
                <w:szCs w:val="22"/>
              </w:rPr>
            </w:pPr>
            <w:r w:rsidRPr="00B10B0E">
              <w:rPr>
                <w:sz w:val="22"/>
                <w:szCs w:val="22"/>
              </w:rPr>
              <w:t>22,250 + .39 x (income over 100,000)</w:t>
            </w:r>
          </w:p>
        </w:tc>
      </w:tr>
      <w:tr w:rsidR="000A2F38" w:rsidRPr="00B10B0E">
        <w:tblPrEx>
          <w:tblCellMar>
            <w:top w:w="0" w:type="dxa"/>
            <w:bottom w:w="0" w:type="dxa"/>
          </w:tblCellMar>
        </w:tblPrEx>
        <w:tc>
          <w:tcPr>
            <w:tcW w:w="1530" w:type="dxa"/>
          </w:tcPr>
          <w:p w:rsidR="000A2F38" w:rsidRPr="00B10B0E" w:rsidRDefault="000A2F38">
            <w:pPr>
              <w:ind w:right="252"/>
              <w:jc w:val="right"/>
              <w:rPr>
                <w:sz w:val="22"/>
                <w:szCs w:val="22"/>
              </w:rPr>
            </w:pPr>
            <w:r w:rsidRPr="00B10B0E">
              <w:rPr>
                <w:sz w:val="22"/>
                <w:szCs w:val="22"/>
              </w:rPr>
              <w:t>335,000</w:t>
            </w:r>
          </w:p>
        </w:tc>
        <w:tc>
          <w:tcPr>
            <w:tcW w:w="1710" w:type="dxa"/>
          </w:tcPr>
          <w:p w:rsidR="000A2F38" w:rsidRPr="00B10B0E" w:rsidRDefault="000A2F38">
            <w:pPr>
              <w:ind w:right="252"/>
              <w:jc w:val="right"/>
              <w:rPr>
                <w:sz w:val="22"/>
                <w:szCs w:val="22"/>
              </w:rPr>
            </w:pPr>
            <w:r w:rsidRPr="00B10B0E">
              <w:rPr>
                <w:sz w:val="22"/>
                <w:szCs w:val="22"/>
              </w:rPr>
              <w:t>10,000,000</w:t>
            </w:r>
          </w:p>
        </w:tc>
        <w:tc>
          <w:tcPr>
            <w:tcW w:w="1080" w:type="dxa"/>
          </w:tcPr>
          <w:p w:rsidR="000A2F38" w:rsidRPr="00B10B0E" w:rsidRDefault="000A2F38">
            <w:pPr>
              <w:jc w:val="center"/>
              <w:rPr>
                <w:sz w:val="22"/>
                <w:szCs w:val="22"/>
              </w:rPr>
            </w:pPr>
            <w:r w:rsidRPr="00B10B0E">
              <w:rPr>
                <w:sz w:val="22"/>
                <w:szCs w:val="22"/>
              </w:rPr>
              <w:t>34</w:t>
            </w:r>
          </w:p>
        </w:tc>
        <w:tc>
          <w:tcPr>
            <w:tcW w:w="4248" w:type="dxa"/>
          </w:tcPr>
          <w:p w:rsidR="000A2F38" w:rsidRPr="00B10B0E" w:rsidRDefault="000A2F38">
            <w:pPr>
              <w:jc w:val="center"/>
              <w:rPr>
                <w:sz w:val="22"/>
                <w:szCs w:val="22"/>
              </w:rPr>
            </w:pPr>
            <w:r w:rsidRPr="00B10B0E">
              <w:rPr>
                <w:sz w:val="22"/>
                <w:szCs w:val="22"/>
              </w:rPr>
              <w:t>113,900 + .34 x (income over 335,000)</w:t>
            </w:r>
          </w:p>
        </w:tc>
      </w:tr>
      <w:tr w:rsidR="000A2F38" w:rsidRPr="00B10B0E">
        <w:tblPrEx>
          <w:tblCellMar>
            <w:top w:w="0" w:type="dxa"/>
            <w:bottom w:w="0" w:type="dxa"/>
          </w:tblCellMar>
        </w:tblPrEx>
        <w:tc>
          <w:tcPr>
            <w:tcW w:w="1530" w:type="dxa"/>
          </w:tcPr>
          <w:p w:rsidR="000A2F38" w:rsidRPr="00B10B0E" w:rsidRDefault="000A2F38">
            <w:pPr>
              <w:ind w:right="252"/>
              <w:jc w:val="right"/>
              <w:rPr>
                <w:sz w:val="22"/>
                <w:szCs w:val="22"/>
              </w:rPr>
            </w:pPr>
            <w:r w:rsidRPr="00B10B0E">
              <w:rPr>
                <w:sz w:val="22"/>
                <w:szCs w:val="22"/>
              </w:rPr>
              <w:t>10,000,000</w:t>
            </w:r>
          </w:p>
        </w:tc>
        <w:tc>
          <w:tcPr>
            <w:tcW w:w="1710" w:type="dxa"/>
          </w:tcPr>
          <w:p w:rsidR="000A2F38" w:rsidRPr="00B10B0E" w:rsidRDefault="000A2F38">
            <w:pPr>
              <w:ind w:right="252"/>
              <w:jc w:val="right"/>
              <w:rPr>
                <w:sz w:val="22"/>
                <w:szCs w:val="22"/>
              </w:rPr>
            </w:pPr>
            <w:r w:rsidRPr="00B10B0E">
              <w:rPr>
                <w:sz w:val="22"/>
                <w:szCs w:val="22"/>
              </w:rPr>
              <w:t>15,000,000</w:t>
            </w:r>
          </w:p>
        </w:tc>
        <w:tc>
          <w:tcPr>
            <w:tcW w:w="1080" w:type="dxa"/>
          </w:tcPr>
          <w:p w:rsidR="000A2F38" w:rsidRPr="00B10B0E" w:rsidRDefault="000A2F38">
            <w:pPr>
              <w:jc w:val="center"/>
              <w:rPr>
                <w:sz w:val="22"/>
                <w:szCs w:val="22"/>
              </w:rPr>
            </w:pPr>
            <w:r w:rsidRPr="00B10B0E">
              <w:rPr>
                <w:sz w:val="22"/>
                <w:szCs w:val="22"/>
              </w:rPr>
              <w:t>35</w:t>
            </w:r>
          </w:p>
        </w:tc>
        <w:tc>
          <w:tcPr>
            <w:tcW w:w="4248" w:type="dxa"/>
          </w:tcPr>
          <w:p w:rsidR="000A2F38" w:rsidRPr="00B10B0E" w:rsidRDefault="000A2F38">
            <w:pPr>
              <w:jc w:val="center"/>
              <w:rPr>
                <w:sz w:val="22"/>
                <w:szCs w:val="22"/>
              </w:rPr>
            </w:pPr>
            <w:r w:rsidRPr="00B10B0E">
              <w:rPr>
                <w:sz w:val="22"/>
                <w:szCs w:val="22"/>
              </w:rPr>
              <w:t>3,400,000 + .35 x (income over 10,000,000)</w:t>
            </w:r>
          </w:p>
        </w:tc>
      </w:tr>
      <w:tr w:rsidR="000A2F38" w:rsidRPr="00B10B0E">
        <w:tblPrEx>
          <w:tblCellMar>
            <w:top w:w="0" w:type="dxa"/>
            <w:bottom w:w="0" w:type="dxa"/>
          </w:tblCellMar>
        </w:tblPrEx>
        <w:tc>
          <w:tcPr>
            <w:tcW w:w="1530" w:type="dxa"/>
          </w:tcPr>
          <w:p w:rsidR="000A2F38" w:rsidRPr="00B10B0E" w:rsidRDefault="000A2F38">
            <w:pPr>
              <w:ind w:right="252"/>
              <w:jc w:val="right"/>
              <w:rPr>
                <w:sz w:val="22"/>
                <w:szCs w:val="22"/>
              </w:rPr>
            </w:pPr>
            <w:r w:rsidRPr="00B10B0E">
              <w:rPr>
                <w:sz w:val="22"/>
                <w:szCs w:val="22"/>
              </w:rPr>
              <w:t>15,000,000</w:t>
            </w:r>
          </w:p>
        </w:tc>
        <w:tc>
          <w:tcPr>
            <w:tcW w:w="1710" w:type="dxa"/>
          </w:tcPr>
          <w:p w:rsidR="000A2F38" w:rsidRPr="00B10B0E" w:rsidRDefault="000A2F38">
            <w:pPr>
              <w:ind w:right="252"/>
              <w:jc w:val="right"/>
              <w:rPr>
                <w:sz w:val="22"/>
                <w:szCs w:val="22"/>
              </w:rPr>
            </w:pPr>
            <w:r w:rsidRPr="00B10B0E">
              <w:rPr>
                <w:sz w:val="22"/>
                <w:szCs w:val="22"/>
              </w:rPr>
              <w:t>18,333,333</w:t>
            </w:r>
          </w:p>
        </w:tc>
        <w:tc>
          <w:tcPr>
            <w:tcW w:w="1080" w:type="dxa"/>
          </w:tcPr>
          <w:p w:rsidR="000A2F38" w:rsidRPr="00B10B0E" w:rsidRDefault="000A2F38">
            <w:pPr>
              <w:jc w:val="center"/>
              <w:rPr>
                <w:sz w:val="22"/>
                <w:szCs w:val="22"/>
              </w:rPr>
            </w:pPr>
            <w:r w:rsidRPr="00B10B0E">
              <w:rPr>
                <w:sz w:val="22"/>
                <w:szCs w:val="22"/>
              </w:rPr>
              <w:t>38</w:t>
            </w:r>
          </w:p>
        </w:tc>
        <w:tc>
          <w:tcPr>
            <w:tcW w:w="4248" w:type="dxa"/>
          </w:tcPr>
          <w:p w:rsidR="000A2F38" w:rsidRPr="00B10B0E" w:rsidRDefault="000A2F38">
            <w:pPr>
              <w:jc w:val="center"/>
              <w:rPr>
                <w:sz w:val="22"/>
                <w:szCs w:val="22"/>
              </w:rPr>
            </w:pPr>
            <w:r w:rsidRPr="00B10B0E">
              <w:rPr>
                <w:sz w:val="22"/>
                <w:szCs w:val="22"/>
              </w:rPr>
              <w:t>5,150,000 + .38 x (income over 15,000,000)</w:t>
            </w:r>
          </w:p>
        </w:tc>
      </w:tr>
      <w:tr w:rsidR="000A2F38" w:rsidRPr="00B10B0E">
        <w:tblPrEx>
          <w:tblCellMar>
            <w:top w:w="0" w:type="dxa"/>
            <w:bottom w:w="0" w:type="dxa"/>
          </w:tblCellMar>
        </w:tblPrEx>
        <w:tc>
          <w:tcPr>
            <w:tcW w:w="1530" w:type="dxa"/>
            <w:tcBorders>
              <w:bottom w:val="single" w:sz="4" w:space="0" w:color="auto"/>
            </w:tcBorders>
          </w:tcPr>
          <w:p w:rsidR="000A2F38" w:rsidRPr="00B10B0E" w:rsidRDefault="000A2F38">
            <w:pPr>
              <w:ind w:right="252"/>
              <w:jc w:val="right"/>
              <w:rPr>
                <w:sz w:val="22"/>
                <w:szCs w:val="22"/>
              </w:rPr>
            </w:pPr>
            <w:r w:rsidRPr="00B10B0E">
              <w:rPr>
                <w:sz w:val="22"/>
                <w:szCs w:val="22"/>
              </w:rPr>
              <w:t>18,333,333</w:t>
            </w:r>
          </w:p>
        </w:tc>
        <w:tc>
          <w:tcPr>
            <w:tcW w:w="1710" w:type="dxa"/>
            <w:tcBorders>
              <w:bottom w:val="single" w:sz="4" w:space="0" w:color="auto"/>
            </w:tcBorders>
          </w:tcPr>
          <w:p w:rsidR="000A2F38" w:rsidRPr="00B10B0E" w:rsidRDefault="000A2F38">
            <w:pPr>
              <w:ind w:right="252"/>
              <w:jc w:val="right"/>
              <w:rPr>
                <w:sz w:val="22"/>
                <w:szCs w:val="22"/>
              </w:rPr>
            </w:pPr>
            <w:r w:rsidRPr="00B10B0E">
              <w:rPr>
                <w:sz w:val="22"/>
                <w:szCs w:val="22"/>
              </w:rPr>
              <w:t>--</w:t>
            </w:r>
          </w:p>
        </w:tc>
        <w:tc>
          <w:tcPr>
            <w:tcW w:w="1080" w:type="dxa"/>
            <w:tcBorders>
              <w:bottom w:val="single" w:sz="4" w:space="0" w:color="auto"/>
            </w:tcBorders>
          </w:tcPr>
          <w:p w:rsidR="000A2F38" w:rsidRPr="00B10B0E" w:rsidRDefault="000A2F38">
            <w:pPr>
              <w:jc w:val="center"/>
              <w:rPr>
                <w:sz w:val="22"/>
                <w:szCs w:val="22"/>
              </w:rPr>
            </w:pPr>
            <w:r w:rsidRPr="00B10B0E">
              <w:rPr>
                <w:sz w:val="22"/>
                <w:szCs w:val="22"/>
              </w:rPr>
              <w:t>35</w:t>
            </w:r>
          </w:p>
        </w:tc>
        <w:tc>
          <w:tcPr>
            <w:tcW w:w="4248" w:type="dxa"/>
            <w:tcBorders>
              <w:bottom w:val="single" w:sz="4" w:space="0" w:color="auto"/>
            </w:tcBorders>
          </w:tcPr>
          <w:p w:rsidR="000A2F38" w:rsidRPr="00B10B0E" w:rsidRDefault="000A2F38">
            <w:pPr>
              <w:jc w:val="center"/>
              <w:rPr>
                <w:sz w:val="22"/>
                <w:szCs w:val="22"/>
              </w:rPr>
            </w:pPr>
            <w:r w:rsidRPr="00B10B0E">
              <w:rPr>
                <w:sz w:val="22"/>
                <w:szCs w:val="22"/>
              </w:rPr>
              <w:t>6,416,667 + .35 x (income over 18,333,333)</w:t>
            </w:r>
          </w:p>
        </w:tc>
      </w:tr>
    </w:tbl>
    <w:p w:rsidR="000A2F38" w:rsidRPr="00B10B0E" w:rsidRDefault="000A2F38">
      <w:pPr>
        <w:ind w:left="360"/>
        <w:rPr>
          <w:sz w:val="22"/>
          <w:szCs w:val="22"/>
        </w:rPr>
      </w:pPr>
    </w:p>
    <w:p w:rsidR="00582801" w:rsidRPr="00B10B0E" w:rsidRDefault="00056AD1" w:rsidP="00056AD1">
      <w:pPr>
        <w:pStyle w:val="CM3"/>
        <w:ind w:left="360" w:hanging="343"/>
        <w:rPr>
          <w:color w:val="000000"/>
          <w:sz w:val="22"/>
          <w:szCs w:val="22"/>
        </w:rPr>
      </w:pPr>
      <w:r w:rsidRPr="00B10B0E">
        <w:rPr>
          <w:sz w:val="22"/>
          <w:szCs w:val="22"/>
        </w:rPr>
        <w:t>5.</w:t>
      </w:r>
      <w:r w:rsidRPr="00B10B0E">
        <w:rPr>
          <w:sz w:val="22"/>
          <w:szCs w:val="22"/>
        </w:rPr>
        <w:tab/>
      </w:r>
      <w:r w:rsidR="00582801" w:rsidRPr="00B10B0E">
        <w:rPr>
          <w:color w:val="000000"/>
          <w:sz w:val="22"/>
          <w:szCs w:val="22"/>
        </w:rPr>
        <w:t xml:space="preserve">Loquat Foods Company is able to borrow at an interest rate of 9 percent for one year. </w:t>
      </w:r>
      <w:r w:rsidRPr="00B10B0E">
        <w:rPr>
          <w:color w:val="000000"/>
          <w:sz w:val="22"/>
          <w:szCs w:val="22"/>
        </w:rPr>
        <w:t xml:space="preserve"> </w:t>
      </w:r>
      <w:r w:rsidR="00582801" w:rsidRPr="00B10B0E">
        <w:rPr>
          <w:color w:val="000000"/>
          <w:sz w:val="22"/>
          <w:szCs w:val="22"/>
        </w:rPr>
        <w:t>For the year</w:t>
      </w:r>
      <w:r w:rsidRPr="00B10B0E">
        <w:rPr>
          <w:color w:val="000000"/>
          <w:sz w:val="22"/>
          <w:szCs w:val="22"/>
        </w:rPr>
        <w:t>,</w:t>
      </w:r>
      <w:r w:rsidR="00582801" w:rsidRPr="00B10B0E">
        <w:rPr>
          <w:color w:val="000000"/>
          <w:sz w:val="22"/>
          <w:szCs w:val="22"/>
        </w:rPr>
        <w:t xml:space="preserve"> market participants 4 percent in</w:t>
      </w:r>
      <w:r w:rsidRPr="00B10B0E">
        <w:rPr>
          <w:color w:val="000000"/>
          <w:sz w:val="22"/>
          <w:szCs w:val="22"/>
        </w:rPr>
        <w:t>f</w:t>
      </w:r>
      <w:r w:rsidR="00582801" w:rsidRPr="00B10B0E">
        <w:rPr>
          <w:color w:val="000000"/>
          <w:sz w:val="22"/>
          <w:szCs w:val="22"/>
        </w:rPr>
        <w:t xml:space="preserve">1ation. </w:t>
      </w:r>
    </w:p>
    <w:p w:rsidR="00582801" w:rsidRPr="00B10B0E" w:rsidRDefault="00582801" w:rsidP="00056AD1">
      <w:pPr>
        <w:pStyle w:val="Default"/>
        <w:spacing w:after="11"/>
        <w:ind w:left="720" w:hanging="343"/>
        <w:rPr>
          <w:sz w:val="22"/>
          <w:szCs w:val="22"/>
        </w:rPr>
      </w:pPr>
      <w:r w:rsidRPr="00B10B0E">
        <w:rPr>
          <w:sz w:val="22"/>
          <w:szCs w:val="22"/>
        </w:rPr>
        <w:t xml:space="preserve">a. </w:t>
      </w:r>
      <w:r w:rsidR="00056AD1" w:rsidRPr="00B10B0E">
        <w:rPr>
          <w:sz w:val="22"/>
          <w:szCs w:val="22"/>
        </w:rPr>
        <w:tab/>
      </w:r>
      <w:r w:rsidRPr="00B10B0E">
        <w:rPr>
          <w:sz w:val="22"/>
          <w:szCs w:val="22"/>
        </w:rPr>
        <w:t xml:space="preserve">What approximate real rate of return does the lender expect? </w:t>
      </w:r>
      <w:r w:rsidR="00056AD1" w:rsidRPr="00B10B0E">
        <w:rPr>
          <w:sz w:val="22"/>
          <w:szCs w:val="22"/>
        </w:rPr>
        <w:t xml:space="preserve"> </w:t>
      </w:r>
      <w:r w:rsidRPr="00B10B0E">
        <w:rPr>
          <w:sz w:val="22"/>
          <w:szCs w:val="22"/>
        </w:rPr>
        <w:t>What is the in</w:t>
      </w:r>
      <w:r w:rsidR="00056AD1" w:rsidRPr="00B10B0E">
        <w:rPr>
          <w:sz w:val="22"/>
          <w:szCs w:val="22"/>
        </w:rPr>
        <w:t>f</w:t>
      </w:r>
      <w:r w:rsidRPr="00B10B0E">
        <w:rPr>
          <w:sz w:val="22"/>
          <w:szCs w:val="22"/>
        </w:rPr>
        <w:t xml:space="preserve">lation premium embodied in the nominal interest rate? </w:t>
      </w:r>
    </w:p>
    <w:p w:rsidR="00582801" w:rsidRPr="00B10B0E" w:rsidRDefault="00056AD1" w:rsidP="00056AD1">
      <w:pPr>
        <w:pStyle w:val="Default"/>
        <w:spacing w:after="11"/>
        <w:ind w:left="720" w:hanging="343"/>
        <w:rPr>
          <w:sz w:val="22"/>
          <w:szCs w:val="22"/>
        </w:rPr>
      </w:pPr>
      <w:r w:rsidRPr="00B10B0E">
        <w:rPr>
          <w:sz w:val="22"/>
          <w:szCs w:val="22"/>
        </w:rPr>
        <w:t>b</w:t>
      </w:r>
      <w:r w:rsidR="00582801" w:rsidRPr="00B10B0E">
        <w:rPr>
          <w:sz w:val="22"/>
          <w:szCs w:val="22"/>
        </w:rPr>
        <w:t xml:space="preserve">. </w:t>
      </w:r>
      <w:r w:rsidRPr="00B10B0E">
        <w:rPr>
          <w:sz w:val="22"/>
          <w:szCs w:val="22"/>
        </w:rPr>
        <w:tab/>
      </w:r>
      <w:r w:rsidR="00582801" w:rsidRPr="00B10B0E">
        <w:rPr>
          <w:sz w:val="22"/>
          <w:szCs w:val="22"/>
        </w:rPr>
        <w:t>I</w:t>
      </w:r>
      <w:r w:rsidRPr="00B10B0E">
        <w:rPr>
          <w:sz w:val="22"/>
          <w:szCs w:val="22"/>
        </w:rPr>
        <w:t xml:space="preserve">f </w:t>
      </w:r>
      <w:r w:rsidR="00582801" w:rsidRPr="00B10B0E">
        <w:rPr>
          <w:sz w:val="22"/>
          <w:szCs w:val="22"/>
        </w:rPr>
        <w:t>in</w:t>
      </w:r>
      <w:r w:rsidRPr="00B10B0E">
        <w:rPr>
          <w:sz w:val="22"/>
          <w:szCs w:val="22"/>
        </w:rPr>
        <w:t>f</w:t>
      </w:r>
      <w:r w:rsidR="00582801" w:rsidRPr="00B10B0E">
        <w:rPr>
          <w:sz w:val="22"/>
          <w:szCs w:val="22"/>
        </w:rPr>
        <w:t xml:space="preserve">lation proves to be 2 percent for the year, does the lender suffer? </w:t>
      </w:r>
      <w:r w:rsidRPr="00B10B0E">
        <w:rPr>
          <w:sz w:val="22"/>
          <w:szCs w:val="22"/>
        </w:rPr>
        <w:t xml:space="preserve"> </w:t>
      </w:r>
      <w:r w:rsidR="00582801" w:rsidRPr="00B10B0E">
        <w:rPr>
          <w:sz w:val="22"/>
          <w:szCs w:val="22"/>
        </w:rPr>
        <w:t xml:space="preserve">Does the borrower suffer? </w:t>
      </w:r>
      <w:r w:rsidRPr="00B10B0E">
        <w:rPr>
          <w:sz w:val="22"/>
          <w:szCs w:val="22"/>
        </w:rPr>
        <w:t xml:space="preserve"> </w:t>
      </w:r>
      <w:r w:rsidR="00582801" w:rsidRPr="00B10B0E">
        <w:rPr>
          <w:sz w:val="22"/>
          <w:szCs w:val="22"/>
        </w:rPr>
        <w:t xml:space="preserve">Why? </w:t>
      </w:r>
    </w:p>
    <w:p w:rsidR="00582801" w:rsidRPr="00B10B0E" w:rsidRDefault="00582801" w:rsidP="00056AD1">
      <w:pPr>
        <w:pStyle w:val="Default"/>
        <w:ind w:left="720" w:hanging="343"/>
        <w:rPr>
          <w:sz w:val="22"/>
          <w:szCs w:val="22"/>
        </w:rPr>
      </w:pPr>
      <w:r w:rsidRPr="00B10B0E">
        <w:rPr>
          <w:sz w:val="22"/>
          <w:szCs w:val="22"/>
        </w:rPr>
        <w:t xml:space="preserve">c. </w:t>
      </w:r>
      <w:r w:rsidR="00056AD1" w:rsidRPr="00B10B0E">
        <w:rPr>
          <w:sz w:val="22"/>
          <w:szCs w:val="22"/>
        </w:rPr>
        <w:tab/>
      </w:r>
      <w:r w:rsidRPr="00B10B0E">
        <w:rPr>
          <w:sz w:val="22"/>
          <w:szCs w:val="22"/>
        </w:rPr>
        <w:t>If in</w:t>
      </w:r>
      <w:r w:rsidR="00056AD1" w:rsidRPr="00B10B0E">
        <w:rPr>
          <w:sz w:val="22"/>
          <w:szCs w:val="22"/>
        </w:rPr>
        <w:t>f</w:t>
      </w:r>
      <w:r w:rsidRPr="00B10B0E">
        <w:rPr>
          <w:sz w:val="22"/>
          <w:szCs w:val="22"/>
        </w:rPr>
        <w:t>lation proves to be 6</w:t>
      </w:r>
      <w:r w:rsidR="00056AD1" w:rsidRPr="00B10B0E">
        <w:rPr>
          <w:sz w:val="22"/>
          <w:szCs w:val="22"/>
        </w:rPr>
        <w:t xml:space="preserve"> percent,</w:t>
      </w:r>
      <w:r w:rsidRPr="00B10B0E">
        <w:rPr>
          <w:sz w:val="22"/>
          <w:szCs w:val="22"/>
        </w:rPr>
        <w:t xml:space="preserve"> who gains and who loses? </w:t>
      </w:r>
    </w:p>
    <w:p w:rsidR="00582801" w:rsidRDefault="00582801">
      <w:pPr>
        <w:ind w:left="360"/>
        <w:rPr>
          <w:sz w:val="22"/>
          <w:szCs w:val="22"/>
        </w:rPr>
      </w:pPr>
    </w:p>
    <w:p w:rsidR="003C495D" w:rsidRPr="00B10B0E" w:rsidRDefault="003C495D" w:rsidP="003C495D">
      <w:pPr>
        <w:pStyle w:val="CM3"/>
        <w:ind w:left="360" w:hanging="343"/>
        <w:rPr>
          <w:color w:val="000000"/>
          <w:sz w:val="22"/>
          <w:szCs w:val="22"/>
        </w:rPr>
      </w:pPr>
      <w:r>
        <w:rPr>
          <w:sz w:val="22"/>
          <w:szCs w:val="22"/>
        </w:rPr>
        <w:t>6</w:t>
      </w:r>
      <w:r w:rsidRPr="00B10B0E">
        <w:rPr>
          <w:sz w:val="22"/>
          <w:szCs w:val="22"/>
        </w:rPr>
        <w:t>.</w:t>
      </w:r>
      <w:r w:rsidRPr="00B10B0E">
        <w:rPr>
          <w:sz w:val="22"/>
          <w:szCs w:val="22"/>
        </w:rPr>
        <w:tab/>
      </w:r>
      <w:r>
        <w:rPr>
          <w:color w:val="000000"/>
          <w:sz w:val="22"/>
          <w:szCs w:val="22"/>
        </w:rPr>
        <w:t xml:space="preserve">From a recent Monday </w:t>
      </w:r>
      <w:r w:rsidRPr="003C495D">
        <w:rPr>
          <w:i/>
          <w:color w:val="000000"/>
          <w:sz w:val="22"/>
          <w:szCs w:val="22"/>
        </w:rPr>
        <w:t>Wall Street Journal</w:t>
      </w:r>
      <w:r>
        <w:rPr>
          <w:color w:val="000000"/>
          <w:sz w:val="22"/>
          <w:szCs w:val="22"/>
        </w:rPr>
        <w:t>, collect yield information on yields for a long-term Treasury bond, a public utility bond (probably AA in quality), municipal bonds, as described by the municipal bond index, Treasury bills, and commercial paper.  (This information appears at the back of the paper under the Bond Market section, the Monday Market Rates section, and the Treasury Issues section.)  What reasons can you give for the differences in yield on these various instruments?</w:t>
      </w:r>
      <w:bookmarkStart w:id="0" w:name="_GoBack"/>
      <w:bookmarkEnd w:id="0"/>
    </w:p>
    <w:p w:rsidR="003C495D" w:rsidRPr="00B10B0E" w:rsidRDefault="003C495D">
      <w:pPr>
        <w:ind w:left="360"/>
        <w:rPr>
          <w:sz w:val="22"/>
          <w:szCs w:val="22"/>
        </w:rPr>
      </w:pPr>
    </w:p>
    <w:sectPr w:rsidR="003C495D" w:rsidRPr="00B10B0E">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AEDD1"/>
    <w:multiLevelType w:val="hybridMultilevel"/>
    <w:tmpl w:val="AE9EAC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D7"/>
    <w:rsid w:val="00056AD1"/>
    <w:rsid w:val="000A2F38"/>
    <w:rsid w:val="003C495D"/>
    <w:rsid w:val="00582801"/>
    <w:rsid w:val="006230D7"/>
    <w:rsid w:val="008A227E"/>
    <w:rsid w:val="00B1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widowControl w:val="0"/>
      <w:tabs>
        <w:tab w:val="left" w:pos="-1080"/>
        <w:tab w:val="left" w:pos="-720"/>
        <w:tab w:val="left" w:pos="0"/>
        <w:tab w:val="left" w:pos="180"/>
        <w:tab w:val="left" w:pos="360"/>
        <w:tab w:val="left" w:pos="540"/>
      </w:tabs>
      <w:outlineLvl w:val="2"/>
    </w:pPr>
    <w:rPr>
      <w:b/>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Default">
    <w:name w:val="Default"/>
    <w:rsid w:val="00582801"/>
    <w:pPr>
      <w:autoSpaceDE w:val="0"/>
      <w:autoSpaceDN w:val="0"/>
      <w:adjustRightInd w:val="0"/>
    </w:pPr>
    <w:rPr>
      <w:color w:val="000000"/>
      <w:sz w:val="24"/>
      <w:szCs w:val="24"/>
    </w:rPr>
  </w:style>
  <w:style w:type="paragraph" w:customStyle="1" w:styleId="CM3">
    <w:name w:val="CM3"/>
    <w:basedOn w:val="Default"/>
    <w:next w:val="Default"/>
    <w:uiPriority w:val="99"/>
    <w:rsid w:val="00582801"/>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widowControl w:val="0"/>
      <w:tabs>
        <w:tab w:val="left" w:pos="-1080"/>
        <w:tab w:val="left" w:pos="-720"/>
        <w:tab w:val="left" w:pos="0"/>
        <w:tab w:val="left" w:pos="180"/>
        <w:tab w:val="left" w:pos="360"/>
        <w:tab w:val="left" w:pos="540"/>
      </w:tabs>
      <w:outlineLvl w:val="2"/>
    </w:pPr>
    <w:rPr>
      <w:b/>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Default">
    <w:name w:val="Default"/>
    <w:rsid w:val="00582801"/>
    <w:pPr>
      <w:autoSpaceDE w:val="0"/>
      <w:autoSpaceDN w:val="0"/>
      <w:adjustRightInd w:val="0"/>
    </w:pPr>
    <w:rPr>
      <w:color w:val="000000"/>
      <w:sz w:val="24"/>
      <w:szCs w:val="24"/>
    </w:rPr>
  </w:style>
  <w:style w:type="paragraph" w:customStyle="1" w:styleId="CM3">
    <w:name w:val="CM3"/>
    <w:basedOn w:val="Default"/>
    <w:next w:val="Default"/>
    <w:uiPriority w:val="99"/>
    <w:rsid w:val="00582801"/>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2  The Business, Tax and Financial Environments</vt:lpstr>
    </vt:vector>
  </TitlesOfParts>
  <Company>FIU-EIC</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Business, Tax and Financial Environments</dc:title>
  <dc:subject/>
  <dc:creator>Ted Lee</dc:creator>
  <cp:keywords/>
  <dc:description/>
  <cp:lastModifiedBy>leet</cp:lastModifiedBy>
  <cp:revision>2</cp:revision>
  <dcterms:created xsi:type="dcterms:W3CDTF">2013-01-18T16:35:00Z</dcterms:created>
  <dcterms:modified xsi:type="dcterms:W3CDTF">2013-01-18T16:35:00Z</dcterms:modified>
</cp:coreProperties>
</file>