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C1" w:rsidRPr="009632C1" w:rsidRDefault="009632C1" w:rsidP="009632C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632C1">
        <w:rPr>
          <w:rFonts w:ascii="Times New Roman" w:eastAsia="Times New Roman" w:hAnsi="Times New Roman" w:cs="Times New Roman"/>
          <w:b/>
          <w:bCs/>
          <w:kern w:val="36"/>
          <w:sz w:val="48"/>
          <w:szCs w:val="48"/>
        </w:rPr>
        <w:t>More Drugs Added to FDA Watch List</w:t>
      </w:r>
    </w:p>
    <w:p w:rsidR="009632C1" w:rsidRPr="009632C1" w:rsidRDefault="009632C1" w:rsidP="009632C1">
      <w:pPr>
        <w:spacing w:after="136" w:line="240" w:lineRule="auto"/>
        <w:jc w:val="center"/>
        <w:rPr>
          <w:rFonts w:ascii="Times New Roman" w:eastAsia="Times New Roman" w:hAnsi="Times New Roman" w:cs="Times New Roman"/>
          <w:sz w:val="18"/>
          <w:szCs w:val="18"/>
        </w:rPr>
      </w:pPr>
      <w:hyperlink r:id="rId5" w:history="1">
        <w:r w:rsidRPr="009632C1">
          <w:rPr>
            <w:rFonts w:ascii="Times New Roman" w:eastAsia="Times New Roman" w:hAnsi="Times New Roman" w:cs="Times New Roman"/>
            <w:color w:val="004276"/>
            <w:sz w:val="18"/>
          </w:rPr>
          <w:t>Robert Lowes</w:t>
        </w:r>
      </w:hyperlink>
    </w:p>
    <w:p w:rsidR="009632C1" w:rsidRPr="009632C1" w:rsidRDefault="009632C1" w:rsidP="009632C1">
      <w:pPr>
        <w:spacing w:after="0" w:line="240" w:lineRule="auto"/>
        <w:jc w:val="center"/>
        <w:rPr>
          <w:rFonts w:ascii="Times New Roman" w:eastAsia="Times New Roman" w:hAnsi="Times New Roman" w:cs="Times New Roman"/>
          <w:sz w:val="18"/>
          <w:szCs w:val="18"/>
        </w:rPr>
      </w:pPr>
      <w:r w:rsidRPr="009632C1">
        <w:rPr>
          <w:rFonts w:ascii="Times New Roman" w:eastAsia="Times New Roman" w:hAnsi="Times New Roman" w:cs="Times New Roman"/>
          <w:sz w:val="18"/>
          <w:szCs w:val="18"/>
        </w:rPr>
        <w:t>June 20, 2014</w:t>
      </w:r>
    </w:p>
    <w:p w:rsidR="009632C1" w:rsidRPr="009632C1" w:rsidRDefault="009632C1" w:rsidP="009632C1">
      <w:pPr>
        <w:spacing w:after="0" w:line="240" w:lineRule="auto"/>
        <w:jc w:val="center"/>
        <w:rPr>
          <w:rFonts w:ascii="Times New Roman" w:eastAsia="Times New Roman" w:hAnsi="Times New Roman" w:cs="Times New Roman"/>
          <w:sz w:val="18"/>
          <w:szCs w:val="18"/>
        </w:rPr>
      </w:pPr>
      <w:r w:rsidRPr="009632C1">
        <w:rPr>
          <w:rFonts w:ascii="Times New Roman" w:eastAsia="Times New Roman" w:hAnsi="Times New Roman" w:cs="Times New Roman"/>
          <w:sz w:val="18"/>
          <w:szCs w:val="18"/>
        </w:rPr>
        <w:t> </w:t>
      </w:r>
    </w:p>
    <w:p w:rsidR="009632C1" w:rsidRPr="009632C1" w:rsidRDefault="009632C1" w:rsidP="009632C1">
      <w:pPr>
        <w:numPr>
          <w:ilvl w:val="0"/>
          <w:numId w:val="3"/>
        </w:num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7617460" cy="5716905"/>
            <wp:effectExtent l="19050" t="0" r="2540" b="0"/>
            <wp:docPr id="7" name="Picture 7" descr="http://img.medscape.com/news/2014/ps_140620_testosterone_cream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edscape.com/news/2014/ps_140620_testosterone_cream_800x600.jpg"/>
                    <pic:cNvPicPr>
                      <a:picLocks noChangeAspect="1" noChangeArrowheads="1"/>
                    </pic:cNvPicPr>
                  </pic:nvPicPr>
                  <pic:blipFill>
                    <a:blip r:embed="rId6" cstate="print"/>
                    <a:srcRect/>
                    <a:stretch>
                      <a:fillRect/>
                    </a:stretch>
                  </pic:blipFill>
                  <pic:spPr bwMode="auto">
                    <a:xfrm>
                      <a:off x="0" y="0"/>
                      <a:ext cx="7617460" cy="5716905"/>
                    </a:xfrm>
                    <a:prstGeom prst="rect">
                      <a:avLst/>
                    </a:prstGeom>
                    <a:noFill/>
                    <a:ln w="9525">
                      <a:noFill/>
                      <a:miter lim="800000"/>
                      <a:headEnd/>
                      <a:tailEnd/>
                    </a:ln>
                  </pic:spPr>
                </pic:pic>
              </a:graphicData>
            </a:graphic>
          </wp:inline>
        </w:drawing>
      </w:r>
      <w:hyperlink r:id="rId7" w:history="1">
        <w:r w:rsidRPr="009632C1">
          <w:rPr>
            <w:rFonts w:ascii="Times New Roman" w:eastAsia="Times New Roman" w:hAnsi="Times New Roman" w:cs="Times New Roman"/>
            <w:color w:val="004276"/>
            <w:sz w:val="18"/>
          </w:rPr>
          <w:t>Testosterone Products to Get Venous Blood Clot Warning</w:t>
        </w:r>
      </w:hyperlink>
    </w:p>
    <w:p w:rsidR="009632C1" w:rsidRPr="009632C1" w:rsidRDefault="009632C1" w:rsidP="009632C1">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noProof/>
          <w:sz w:val="24"/>
          <w:szCs w:val="24"/>
        </w:rPr>
        <w:drawing>
          <wp:inline distT="0" distB="0" distL="0" distR="0">
            <wp:extent cx="1332230" cy="1007745"/>
            <wp:effectExtent l="19050" t="0" r="1270" b="0"/>
            <wp:docPr id="8" name="Picture 8" descr="http://img.medscape.com/news/2012/ht_110914_adcetris_brentuximab_50mg_140x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edscape.com/news/2012/ht_110914_adcetris_brentuximab_50mg_140x106.png"/>
                    <pic:cNvPicPr>
                      <a:picLocks noChangeAspect="1" noChangeArrowheads="1"/>
                    </pic:cNvPicPr>
                  </pic:nvPicPr>
                  <pic:blipFill>
                    <a:blip r:embed="rId8" cstate="print"/>
                    <a:srcRect/>
                    <a:stretch>
                      <a:fillRect/>
                    </a:stretch>
                  </pic:blipFill>
                  <pic:spPr bwMode="auto">
                    <a:xfrm>
                      <a:off x="0" y="0"/>
                      <a:ext cx="1332230" cy="1007745"/>
                    </a:xfrm>
                    <a:prstGeom prst="rect">
                      <a:avLst/>
                    </a:prstGeom>
                    <a:noFill/>
                    <a:ln w="9525">
                      <a:noFill/>
                      <a:miter lim="800000"/>
                      <a:headEnd/>
                      <a:tailEnd/>
                    </a:ln>
                  </pic:spPr>
                </pic:pic>
              </a:graphicData>
            </a:graphic>
          </wp:inline>
        </w:drawing>
      </w:r>
      <w:hyperlink r:id="rId9" w:history="1">
        <w:r w:rsidRPr="009632C1">
          <w:rPr>
            <w:rFonts w:ascii="Times New Roman" w:eastAsia="Times New Roman" w:hAnsi="Times New Roman" w:cs="Times New Roman"/>
            <w:color w:val="004276"/>
            <w:sz w:val="24"/>
            <w:szCs w:val="24"/>
          </w:rPr>
          <w:t xml:space="preserve">FDA Issues Warning About Lymphoma Drug </w:t>
        </w:r>
        <w:proofErr w:type="spellStart"/>
        <w:r w:rsidRPr="009632C1">
          <w:rPr>
            <w:rFonts w:ascii="Times New Roman" w:eastAsia="Times New Roman" w:hAnsi="Times New Roman" w:cs="Times New Roman"/>
            <w:color w:val="004276"/>
            <w:sz w:val="24"/>
            <w:szCs w:val="24"/>
          </w:rPr>
          <w:t>Brentuximab</w:t>
        </w:r>
        <w:proofErr w:type="spellEnd"/>
      </w:hyperlink>
    </w:p>
    <w:p w:rsidR="009632C1" w:rsidRPr="009632C1" w:rsidRDefault="009632C1" w:rsidP="009632C1">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Pr="009632C1">
          <w:rPr>
            <w:rFonts w:ascii="Times New Roman" w:eastAsia="Times New Roman" w:hAnsi="Times New Roman" w:cs="Times New Roman"/>
            <w:color w:val="004276"/>
            <w:sz w:val="24"/>
            <w:szCs w:val="24"/>
          </w:rPr>
          <w:t>Antidepressants Linked to Glaucoma in Elderly</w:t>
        </w:r>
      </w:hyperlink>
    </w:p>
    <w:p w:rsidR="009632C1" w:rsidRPr="009632C1" w:rsidRDefault="009632C1" w:rsidP="009632C1">
      <w:pPr>
        <w:spacing w:after="0"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t xml:space="preserve"> [ </w:t>
      </w:r>
      <w:hyperlink r:id="rId11" w:history="1">
        <w:r w:rsidRPr="009632C1">
          <w:rPr>
            <w:rFonts w:ascii="Times New Roman" w:eastAsia="Times New Roman" w:hAnsi="Times New Roman" w:cs="Times New Roman"/>
            <w:vanish/>
            <w:color w:val="004276"/>
            <w:sz w:val="24"/>
            <w:szCs w:val="24"/>
          </w:rPr>
          <w:t>Close Window</w:t>
        </w:r>
      </w:hyperlink>
      <w:r w:rsidRPr="009632C1">
        <w:rPr>
          <w:rFonts w:ascii="Times New Roman" w:eastAsia="Times New Roman" w:hAnsi="Times New Roman" w:cs="Times New Roman"/>
          <w:vanish/>
          <w:sz w:val="24"/>
          <w:szCs w:val="24"/>
        </w:rPr>
        <w:t xml:space="preserve"> ] </w:t>
      </w:r>
    </w:p>
    <w:p w:rsidR="009632C1" w:rsidRPr="009632C1" w:rsidRDefault="009632C1" w:rsidP="009632C1">
      <w:pPr>
        <w:spacing w:before="100" w:beforeAutospacing="1" w:after="100" w:afterAutospacing="1" w:line="240" w:lineRule="auto"/>
        <w:jc w:val="both"/>
        <w:outlineLvl w:val="5"/>
        <w:rPr>
          <w:rFonts w:ascii="Times New Roman" w:eastAsia="Times New Roman" w:hAnsi="Times New Roman" w:cs="Times New Roman"/>
          <w:b/>
          <w:bCs/>
          <w:vanish/>
          <w:sz w:val="24"/>
          <w:szCs w:val="24"/>
        </w:rPr>
      </w:pPr>
      <w:r w:rsidRPr="009632C1">
        <w:rPr>
          <w:rFonts w:ascii="Times New Roman" w:eastAsia="Times New Roman" w:hAnsi="Times New Roman" w:cs="Times New Roman"/>
          <w:b/>
          <w:bCs/>
          <w:vanish/>
          <w:sz w:val="24"/>
          <w:szCs w:val="24"/>
        </w:rPr>
        <w:t xml:space="preserve">Topic Alert </w:t>
      </w:r>
    </w:p>
    <w:p w:rsidR="009632C1" w:rsidRPr="009632C1" w:rsidRDefault="009632C1" w:rsidP="009632C1">
      <w:pPr>
        <w:spacing w:after="0"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t>Thank you for subscribing to Topic Alert.</w:t>
      </w:r>
    </w:p>
    <w:p w:rsidR="009632C1" w:rsidRPr="009632C1" w:rsidRDefault="009632C1" w:rsidP="009632C1">
      <w:pPr>
        <w:spacing w:after="136"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t xml:space="preserve">has been added to your Topic Alert list. You will receive an email when new content is available from Medscape on your selected topics. </w:t>
      </w:r>
    </w:p>
    <w:p w:rsidR="009632C1" w:rsidRPr="009632C1" w:rsidRDefault="009632C1" w:rsidP="009632C1">
      <w:pPr>
        <w:spacing w:after="0"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t xml:space="preserve">   </w:t>
      </w:r>
    </w:p>
    <w:p w:rsidR="009632C1" w:rsidRPr="009632C1" w:rsidRDefault="009632C1" w:rsidP="009632C1">
      <w:pPr>
        <w:spacing w:after="136"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t xml:space="preserve">If you subscribed to this topic in error or wish to manage your Topic Alert list </w:t>
      </w:r>
      <w:hyperlink r:id="rId12" w:history="1">
        <w:r w:rsidRPr="009632C1">
          <w:rPr>
            <w:rFonts w:ascii="Times New Roman" w:eastAsia="Times New Roman" w:hAnsi="Times New Roman" w:cs="Times New Roman"/>
            <w:vanish/>
            <w:color w:val="004276"/>
            <w:sz w:val="24"/>
            <w:szCs w:val="24"/>
          </w:rPr>
          <w:t>click here</w:t>
        </w:r>
      </w:hyperlink>
      <w:r w:rsidRPr="009632C1">
        <w:rPr>
          <w:rFonts w:ascii="Times New Roman" w:eastAsia="Times New Roman" w:hAnsi="Times New Roman" w:cs="Times New Roman"/>
          <w:vanish/>
          <w:sz w:val="24"/>
          <w:szCs w:val="24"/>
        </w:rPr>
        <w:t xml:space="preserve">. </w:t>
      </w:r>
    </w:p>
    <w:p w:rsidR="009632C1" w:rsidRPr="009632C1" w:rsidRDefault="009632C1" w:rsidP="009632C1">
      <w:pPr>
        <w:spacing w:after="0"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Drug &amp; Reference Information</w:t>
      </w:r>
    </w:p>
    <w:p w:rsidR="009632C1" w:rsidRPr="009632C1" w:rsidRDefault="009632C1" w:rsidP="009632C1">
      <w:pPr>
        <w:spacing w:after="0" w:line="240" w:lineRule="auto"/>
        <w:jc w:val="both"/>
        <w:rPr>
          <w:rFonts w:ascii="Times New Roman" w:eastAsia="Times New Roman" w:hAnsi="Times New Roman" w:cs="Times New Roman"/>
          <w:vanish/>
          <w:color w:val="000000"/>
          <w:sz w:val="24"/>
          <w:szCs w:val="24"/>
        </w:rPr>
      </w:pPr>
      <w:r w:rsidRPr="009632C1">
        <w:rPr>
          <w:rFonts w:ascii="Times New Roman" w:eastAsia="Times New Roman" w:hAnsi="Times New Roman" w:cs="Times New Roman"/>
          <w:vanish/>
          <w:color w:val="000000"/>
          <w:sz w:val="24"/>
          <w:szCs w:val="24"/>
        </w:rPr>
        <w:t xml:space="preserve">Best Places to Practice 2014 is now available on Medscape </w:t>
      </w:r>
    </w:p>
    <w:p w:rsidR="009632C1" w:rsidRPr="009632C1" w:rsidRDefault="009632C1" w:rsidP="009632C1">
      <w:pPr>
        <w:spacing w:after="0" w:line="240" w:lineRule="auto"/>
        <w:jc w:val="both"/>
        <w:rPr>
          <w:rFonts w:ascii="Times New Roman" w:eastAsia="Times New Roman" w:hAnsi="Times New Roman" w:cs="Times New Roman"/>
          <w:color w:val="004276"/>
          <w:sz w:val="24"/>
          <w:szCs w:val="24"/>
        </w:rPr>
      </w:pPr>
      <w:r w:rsidRPr="009632C1">
        <w:rPr>
          <w:rFonts w:ascii="Times New Roman" w:eastAsia="Times New Roman" w:hAnsi="Times New Roman" w:cs="Times New Roman"/>
          <w:vanish/>
          <w:sz w:val="24"/>
          <w:szCs w:val="24"/>
        </w:rPr>
        <w:br/>
      </w:r>
      <w:r w:rsidRPr="009632C1">
        <w:rPr>
          <w:rFonts w:ascii="Times New Roman" w:eastAsia="Times New Roman" w:hAnsi="Times New Roman" w:cs="Times New Roman"/>
          <w:vanish/>
          <w:sz w:val="24"/>
          <w:szCs w:val="24"/>
        </w:rPr>
        <w:fldChar w:fldCharType="begin"/>
      </w:r>
      <w:r w:rsidRPr="009632C1">
        <w:rPr>
          <w:rFonts w:ascii="Times New Roman" w:eastAsia="Times New Roman" w:hAnsi="Times New Roman" w:cs="Times New Roman"/>
          <w:vanish/>
          <w:sz w:val="24"/>
          <w:szCs w:val="24"/>
        </w:rPr>
        <w:instrText xml:space="preserve"> HYPERLINK "http://as.webmd.com/event.ng/Type=click&amp;FlightID=626237&amp;AdID=1024260&amp;TargetID=117007&amp;Values=205,249&amp;Redirect=http:/www.medscape.com/features/slideshow/best-places-to-practice-2014?src=txt_stm_best_1_b" \t "_blank" </w:instrText>
      </w:r>
      <w:r w:rsidRPr="009632C1">
        <w:rPr>
          <w:rFonts w:ascii="Times New Roman" w:eastAsia="Times New Roman" w:hAnsi="Times New Roman" w:cs="Times New Roman"/>
          <w:vanish/>
          <w:sz w:val="24"/>
          <w:szCs w:val="24"/>
        </w:rPr>
        <w:fldChar w:fldCharType="separate"/>
      </w:r>
    </w:p>
    <w:p w:rsidR="009632C1" w:rsidRPr="009632C1" w:rsidRDefault="009632C1" w:rsidP="009632C1">
      <w:pPr>
        <w:spacing w:after="0" w:line="240" w:lineRule="auto"/>
        <w:jc w:val="both"/>
        <w:rPr>
          <w:rFonts w:ascii="Times New Roman" w:eastAsia="Times New Roman" w:hAnsi="Times New Roman" w:cs="Times New Roman"/>
          <w:sz w:val="24"/>
          <w:szCs w:val="24"/>
          <w:u w:val="single"/>
        </w:rPr>
      </w:pPr>
      <w:r w:rsidRPr="009632C1">
        <w:rPr>
          <w:rFonts w:ascii="Times New Roman" w:eastAsia="Times New Roman" w:hAnsi="Times New Roman" w:cs="Times New Roman"/>
          <w:vanish/>
          <w:color w:val="004276"/>
          <w:sz w:val="24"/>
          <w:szCs w:val="24"/>
          <w:u w:val="single"/>
        </w:rPr>
        <w:t>View Report &gt;</w:t>
      </w:r>
    </w:p>
    <w:p w:rsidR="009632C1" w:rsidRPr="009632C1" w:rsidRDefault="009632C1" w:rsidP="009632C1">
      <w:pPr>
        <w:spacing w:after="0" w:line="240" w:lineRule="auto"/>
        <w:jc w:val="both"/>
        <w:rPr>
          <w:rFonts w:ascii="Times New Roman" w:eastAsia="Times New Roman" w:hAnsi="Times New Roman" w:cs="Times New Roman"/>
          <w:vanish/>
          <w:sz w:val="24"/>
          <w:szCs w:val="24"/>
        </w:rPr>
      </w:pPr>
      <w:r w:rsidRPr="009632C1">
        <w:rPr>
          <w:rFonts w:ascii="Times New Roman" w:eastAsia="Times New Roman" w:hAnsi="Times New Roman" w:cs="Times New Roman"/>
          <w:vanish/>
          <w:sz w:val="24"/>
          <w:szCs w:val="24"/>
        </w:rPr>
        <w:fldChar w:fldCharType="end"/>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The US Food and Drug Administration (FDA) has placed testosterone products, most antidepressants, and the cancer drug </w:t>
      </w:r>
      <w:proofErr w:type="spellStart"/>
      <w:r w:rsidRPr="009632C1">
        <w:rPr>
          <w:rFonts w:ascii="Times New Roman" w:eastAsia="Times New Roman" w:hAnsi="Times New Roman" w:cs="Times New Roman"/>
          <w:sz w:val="24"/>
          <w:szCs w:val="24"/>
        </w:rPr>
        <w:t>brentuximab</w:t>
      </w:r>
      <w:proofErr w:type="spellEnd"/>
      <w:r w:rsidRPr="009632C1">
        <w:rPr>
          <w:rFonts w:ascii="Times New Roman" w:eastAsia="Times New Roman" w:hAnsi="Times New Roman" w:cs="Times New Roman"/>
          <w:sz w:val="24"/>
          <w:szCs w:val="24"/>
        </w:rPr>
        <w:t xml:space="preserve"> </w:t>
      </w:r>
      <w:proofErr w:type="spellStart"/>
      <w:r w:rsidRPr="009632C1">
        <w:rPr>
          <w:rFonts w:ascii="Times New Roman" w:eastAsia="Times New Roman" w:hAnsi="Times New Roman" w:cs="Times New Roman"/>
          <w:sz w:val="24"/>
          <w:szCs w:val="24"/>
        </w:rPr>
        <w:t>vedotin</w:t>
      </w:r>
      <w:proofErr w:type="spellEnd"/>
      <w:r w:rsidRPr="009632C1">
        <w:rPr>
          <w:rFonts w:ascii="Times New Roman" w:eastAsia="Times New Roman" w:hAnsi="Times New Roman" w:cs="Times New Roman"/>
          <w:sz w:val="24"/>
          <w:szCs w:val="24"/>
        </w:rPr>
        <w:t xml:space="preserve"> (</w:t>
      </w:r>
      <w:proofErr w:type="spellStart"/>
      <w:r w:rsidRPr="009632C1">
        <w:rPr>
          <w:rFonts w:ascii="Times New Roman" w:eastAsia="Times New Roman" w:hAnsi="Times New Roman" w:cs="Times New Roman"/>
          <w:i/>
          <w:iCs/>
          <w:sz w:val="24"/>
          <w:szCs w:val="24"/>
        </w:rPr>
        <w:t>Adcetris</w:t>
      </w:r>
      <w:proofErr w:type="spellEnd"/>
      <w:r w:rsidRPr="009632C1">
        <w:rPr>
          <w:rFonts w:ascii="Times New Roman" w:eastAsia="Times New Roman" w:hAnsi="Times New Roman" w:cs="Times New Roman"/>
          <w:sz w:val="24"/>
          <w:szCs w:val="24"/>
        </w:rPr>
        <w:t>, Seattle Genetics) on its latest quarterly list of medications to monitor because of potential, unconfirmed health risks, the agency announced June 16.</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The FDA said it would scrutinize testosterone products because it had received reports suggesting the possibility of abuse, misuse, or dependence. The products are indicated for men with low testosterone levels associated with another medical condition.</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In terms of negative publicity, testosterone has had a bad week. Yesterday, in an unrelated announcement, the FDA said that it was </w:t>
      </w:r>
      <w:hyperlink r:id="rId13" w:tgtFrame="_blank" w:history="1">
        <w:r w:rsidRPr="009632C1">
          <w:rPr>
            <w:rFonts w:ascii="Times New Roman" w:eastAsia="Times New Roman" w:hAnsi="Times New Roman" w:cs="Times New Roman"/>
            <w:color w:val="004276"/>
            <w:sz w:val="24"/>
            <w:szCs w:val="24"/>
          </w:rPr>
          <w:t>requiring manufacturers</w:t>
        </w:r>
      </w:hyperlink>
      <w:r w:rsidRPr="009632C1">
        <w:rPr>
          <w:rFonts w:ascii="Times New Roman" w:eastAsia="Times New Roman" w:hAnsi="Times New Roman" w:cs="Times New Roman"/>
          <w:sz w:val="24"/>
          <w:szCs w:val="24"/>
        </w:rPr>
        <w:t xml:space="preserve"> to add a general label warning about the risk for venous blood clots. The current label mentions this risk for testosterone users who experience </w:t>
      </w:r>
      <w:proofErr w:type="spellStart"/>
      <w:r w:rsidRPr="009632C1">
        <w:rPr>
          <w:rFonts w:ascii="Times New Roman" w:eastAsia="Times New Roman" w:hAnsi="Times New Roman" w:cs="Times New Roman"/>
          <w:sz w:val="24"/>
          <w:szCs w:val="24"/>
        </w:rPr>
        <w:t>polycythemia</w:t>
      </w:r>
      <w:proofErr w:type="spellEnd"/>
      <w:r w:rsidRPr="009632C1">
        <w:rPr>
          <w:rFonts w:ascii="Times New Roman" w:eastAsia="Times New Roman" w:hAnsi="Times New Roman" w:cs="Times New Roman"/>
          <w:sz w:val="24"/>
          <w:szCs w:val="24"/>
        </w:rPr>
        <w:t xml:space="preserve">, an abnormal increase in red blood cells that sometimes stems from this therapy. However, the agency said yesterday it had received reports of venous blood clots in patients who did not have </w:t>
      </w:r>
      <w:proofErr w:type="spellStart"/>
      <w:r w:rsidRPr="009632C1">
        <w:rPr>
          <w:rFonts w:ascii="Times New Roman" w:eastAsia="Times New Roman" w:hAnsi="Times New Roman" w:cs="Times New Roman"/>
          <w:sz w:val="24"/>
          <w:szCs w:val="24"/>
        </w:rPr>
        <w:t>polycythemia</w:t>
      </w:r>
      <w:proofErr w:type="spellEnd"/>
      <w:r w:rsidRPr="009632C1">
        <w:rPr>
          <w:rFonts w:ascii="Times New Roman" w:eastAsia="Times New Roman" w:hAnsi="Times New Roman" w:cs="Times New Roman"/>
          <w:sz w:val="24"/>
          <w:szCs w:val="24"/>
        </w:rPr>
        <w:t>.</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Meanwhile, the agency continues to study whether or not testosterone increases the risk for stroke and heart attack.</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All antidepressants other than monoamine </w:t>
      </w:r>
      <w:proofErr w:type="spellStart"/>
      <w:r w:rsidRPr="009632C1">
        <w:rPr>
          <w:rFonts w:ascii="Times New Roman" w:eastAsia="Times New Roman" w:hAnsi="Times New Roman" w:cs="Times New Roman"/>
          <w:sz w:val="24"/>
          <w:szCs w:val="24"/>
        </w:rPr>
        <w:t>oxidase</w:t>
      </w:r>
      <w:proofErr w:type="spellEnd"/>
      <w:r w:rsidRPr="009632C1">
        <w:rPr>
          <w:rFonts w:ascii="Times New Roman" w:eastAsia="Times New Roman" w:hAnsi="Times New Roman" w:cs="Times New Roman"/>
          <w:sz w:val="24"/>
          <w:szCs w:val="24"/>
        </w:rPr>
        <w:t xml:space="preserve"> inhibitors made the agency watch list because of signals of angle-closure glaucoma. Some research has </w:t>
      </w:r>
      <w:hyperlink r:id="rId14" w:tgtFrame="_blank" w:history="1">
        <w:r w:rsidRPr="009632C1">
          <w:rPr>
            <w:rFonts w:ascii="Times New Roman" w:eastAsia="Times New Roman" w:hAnsi="Times New Roman" w:cs="Times New Roman"/>
            <w:color w:val="004276"/>
            <w:sz w:val="24"/>
            <w:szCs w:val="24"/>
          </w:rPr>
          <w:t>linked antidepressants</w:t>
        </w:r>
      </w:hyperlink>
      <w:r w:rsidRPr="009632C1">
        <w:rPr>
          <w:rFonts w:ascii="Times New Roman" w:eastAsia="Times New Roman" w:hAnsi="Times New Roman" w:cs="Times New Roman"/>
          <w:sz w:val="24"/>
          <w:szCs w:val="24"/>
        </w:rPr>
        <w:t xml:space="preserve"> to glaucoma in elderly patients.</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The FDA will monitor </w:t>
      </w:r>
      <w:proofErr w:type="spellStart"/>
      <w:r w:rsidRPr="009632C1">
        <w:rPr>
          <w:rFonts w:ascii="Times New Roman" w:eastAsia="Times New Roman" w:hAnsi="Times New Roman" w:cs="Times New Roman"/>
          <w:sz w:val="24"/>
          <w:szCs w:val="24"/>
        </w:rPr>
        <w:t>brentuximab</w:t>
      </w:r>
      <w:proofErr w:type="spellEnd"/>
      <w:r w:rsidRPr="009632C1">
        <w:rPr>
          <w:rFonts w:ascii="Times New Roman" w:eastAsia="Times New Roman" w:hAnsi="Times New Roman" w:cs="Times New Roman"/>
          <w:sz w:val="24"/>
          <w:szCs w:val="24"/>
        </w:rPr>
        <w:t xml:space="preserve"> </w:t>
      </w:r>
      <w:proofErr w:type="spellStart"/>
      <w:r w:rsidRPr="009632C1">
        <w:rPr>
          <w:rFonts w:ascii="Times New Roman" w:eastAsia="Times New Roman" w:hAnsi="Times New Roman" w:cs="Times New Roman"/>
          <w:sz w:val="24"/>
          <w:szCs w:val="24"/>
        </w:rPr>
        <w:t>vedotin</w:t>
      </w:r>
      <w:proofErr w:type="spellEnd"/>
      <w:r w:rsidRPr="009632C1">
        <w:rPr>
          <w:rFonts w:ascii="Times New Roman" w:eastAsia="Times New Roman" w:hAnsi="Times New Roman" w:cs="Times New Roman"/>
          <w:sz w:val="24"/>
          <w:szCs w:val="24"/>
        </w:rPr>
        <w:t xml:space="preserve">, approved in 2011 to treat Hodgkin's lymphoma and systemic </w:t>
      </w:r>
      <w:proofErr w:type="spellStart"/>
      <w:r w:rsidRPr="009632C1">
        <w:rPr>
          <w:rFonts w:ascii="Times New Roman" w:eastAsia="Times New Roman" w:hAnsi="Times New Roman" w:cs="Times New Roman"/>
          <w:sz w:val="24"/>
          <w:szCs w:val="24"/>
        </w:rPr>
        <w:t>anaplastic</w:t>
      </w:r>
      <w:proofErr w:type="spellEnd"/>
      <w:r w:rsidRPr="009632C1">
        <w:rPr>
          <w:rFonts w:ascii="Times New Roman" w:eastAsia="Times New Roman" w:hAnsi="Times New Roman" w:cs="Times New Roman"/>
          <w:sz w:val="24"/>
          <w:szCs w:val="24"/>
        </w:rPr>
        <w:t xml:space="preserve"> large cell lymphoma, for evidence it may lead to </w:t>
      </w:r>
      <w:proofErr w:type="spellStart"/>
      <w:r w:rsidRPr="009632C1">
        <w:rPr>
          <w:rFonts w:ascii="Times New Roman" w:eastAsia="Times New Roman" w:hAnsi="Times New Roman" w:cs="Times New Roman"/>
          <w:sz w:val="24"/>
          <w:szCs w:val="24"/>
        </w:rPr>
        <w:t>hepatotoxicity</w:t>
      </w:r>
      <w:proofErr w:type="spellEnd"/>
      <w:r w:rsidRPr="009632C1">
        <w:rPr>
          <w:rFonts w:ascii="Times New Roman" w:eastAsia="Times New Roman" w:hAnsi="Times New Roman" w:cs="Times New Roman"/>
          <w:sz w:val="24"/>
          <w:szCs w:val="24"/>
        </w:rPr>
        <w:t xml:space="preserve">. In 2012, the FDA ordered a boxed warning for the drug about the risk for progressive multifocal </w:t>
      </w:r>
      <w:proofErr w:type="spellStart"/>
      <w:r w:rsidRPr="009632C1">
        <w:rPr>
          <w:rFonts w:ascii="Times New Roman" w:eastAsia="Times New Roman" w:hAnsi="Times New Roman" w:cs="Times New Roman"/>
          <w:sz w:val="24"/>
          <w:szCs w:val="24"/>
        </w:rPr>
        <w:t>leukoencephalopathy</w:t>
      </w:r>
      <w:proofErr w:type="spellEnd"/>
      <w:r w:rsidRPr="009632C1">
        <w:rPr>
          <w:rFonts w:ascii="Times New Roman" w:eastAsia="Times New Roman" w:hAnsi="Times New Roman" w:cs="Times New Roman"/>
          <w:sz w:val="24"/>
          <w:szCs w:val="24"/>
        </w:rPr>
        <w:t>, a rare but serious brain infection.</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The decision to place all these drugs on the watch list was based on reports of possible safety issues received by the FDA Adverse Event Reporting System (FAERS) database in the first 3 months of 2014.</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An appearance on the list does not mean the FDA has determined that the drug indeed poses the health risk reported through FAERS. However, the agency will investigate if there is a causal link. If such as link is established, the agency then would consider a regulatory response, which can include gathering more information to better describe the risk, revising the drug's label, or requiring a risk evaluation and mitigation strategy.</w:t>
      </w: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The FDA also stresses that it is not suggesting that clinicians should stop prescribing drugs on its watch list or </w:t>
      </w:r>
      <w:proofErr w:type="gramStart"/>
      <w:r w:rsidRPr="009632C1">
        <w:rPr>
          <w:rFonts w:ascii="Times New Roman" w:eastAsia="Times New Roman" w:hAnsi="Times New Roman" w:cs="Times New Roman"/>
          <w:sz w:val="24"/>
          <w:szCs w:val="24"/>
        </w:rPr>
        <w:t>that patients</w:t>
      </w:r>
      <w:proofErr w:type="gramEnd"/>
      <w:r w:rsidRPr="009632C1">
        <w:rPr>
          <w:rFonts w:ascii="Times New Roman" w:eastAsia="Times New Roman" w:hAnsi="Times New Roman" w:cs="Times New Roman"/>
          <w:sz w:val="24"/>
          <w:szCs w:val="24"/>
        </w:rPr>
        <w:t xml:space="preserve"> should stop taking them.</w:t>
      </w:r>
    </w:p>
    <w:p w:rsidR="009632C1" w:rsidRDefault="009632C1" w:rsidP="009632C1">
      <w:pPr>
        <w:spacing w:after="136" w:line="240" w:lineRule="auto"/>
        <w:jc w:val="both"/>
        <w:rPr>
          <w:rFonts w:ascii="Times New Roman" w:eastAsia="Times New Roman" w:hAnsi="Times New Roman" w:cs="Times New Roman"/>
          <w:b/>
          <w:bCs/>
          <w:sz w:val="24"/>
          <w:szCs w:val="24"/>
        </w:rPr>
      </w:pPr>
    </w:p>
    <w:p w:rsidR="009632C1" w:rsidRDefault="009632C1" w:rsidP="009632C1">
      <w:pPr>
        <w:spacing w:after="136" w:line="240" w:lineRule="auto"/>
        <w:jc w:val="both"/>
        <w:rPr>
          <w:rFonts w:ascii="Times New Roman" w:eastAsia="Times New Roman" w:hAnsi="Times New Roman" w:cs="Times New Roman"/>
          <w:b/>
          <w:bCs/>
          <w:sz w:val="24"/>
          <w:szCs w:val="24"/>
        </w:rPr>
      </w:pPr>
    </w:p>
    <w:p w:rsidR="009632C1" w:rsidRDefault="009632C1" w:rsidP="009632C1">
      <w:pPr>
        <w:spacing w:after="136" w:line="240" w:lineRule="auto"/>
        <w:jc w:val="both"/>
        <w:rPr>
          <w:rFonts w:ascii="Times New Roman" w:eastAsia="Times New Roman" w:hAnsi="Times New Roman" w:cs="Times New Roman"/>
          <w:b/>
          <w:bCs/>
          <w:sz w:val="24"/>
          <w:szCs w:val="24"/>
        </w:rPr>
      </w:pPr>
    </w:p>
    <w:p w:rsidR="009632C1" w:rsidRPr="009632C1" w:rsidRDefault="009632C1" w:rsidP="009632C1">
      <w:pPr>
        <w:spacing w:after="136" w:line="240" w:lineRule="auto"/>
        <w:jc w:val="both"/>
        <w:rPr>
          <w:rFonts w:ascii="Times New Roman" w:eastAsia="Times New Roman" w:hAnsi="Times New Roman" w:cs="Times New Roman"/>
          <w:sz w:val="24"/>
          <w:szCs w:val="24"/>
        </w:rPr>
      </w:pPr>
      <w:r w:rsidRPr="009632C1">
        <w:rPr>
          <w:rFonts w:ascii="Times New Roman" w:eastAsia="Times New Roman" w:hAnsi="Times New Roman" w:cs="Times New Roman"/>
          <w:b/>
          <w:bCs/>
          <w:sz w:val="24"/>
          <w:szCs w:val="24"/>
        </w:rPr>
        <w:lastRenderedPageBreak/>
        <w:t>Table. Potential Signals of Serious Risks/New Safety Information Identified by FAERS, January to March 2014</w:t>
      </w:r>
      <w:r w:rsidRPr="009632C1">
        <w:rPr>
          <w:rFonts w:ascii="Times New Roman" w:eastAsia="Times New Roman" w:hAnsi="Times New Roman" w:cs="Times New Roman"/>
          <w:sz w:val="24"/>
          <w:szCs w:val="24"/>
        </w:rPr>
        <w:t xml:space="preserve"> </w:t>
      </w:r>
    </w:p>
    <w:p w:rsidR="009632C1" w:rsidRPr="009632C1" w:rsidRDefault="009632C1" w:rsidP="009632C1">
      <w:pPr>
        <w:spacing w:after="0" w:line="240" w:lineRule="auto"/>
        <w:jc w:val="center"/>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tblPr>
      <w:tblGrid>
        <w:gridCol w:w="2427"/>
        <w:gridCol w:w="2395"/>
        <w:gridCol w:w="4538"/>
      </w:tblGrid>
      <w:tr w:rsidR="009632C1" w:rsidRPr="009632C1" w:rsidTr="009632C1">
        <w:trPr>
          <w:tblCellSpacing w:w="0" w:type="dxa"/>
          <w:jc w:val="center"/>
        </w:trPr>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b/>
                <w:bCs/>
                <w:sz w:val="24"/>
                <w:szCs w:val="24"/>
              </w:rPr>
              <w:t>Product Name: Active Ingredient (Trade) or Product Class</w:t>
            </w:r>
            <w:r w:rsidRPr="009632C1">
              <w:rPr>
                <w:rFonts w:ascii="Times New Roman" w:eastAsia="Times New Roman" w:hAnsi="Times New Roman" w:cs="Times New Roman"/>
                <w:sz w:val="24"/>
                <w:szCs w:val="24"/>
              </w:rPr>
              <w:t xml:space="preserve"> </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b/>
                <w:bCs/>
                <w:sz w:val="24"/>
                <w:szCs w:val="24"/>
              </w:rPr>
              <w:t>Potential Signal of a Serious Risk/New Safety Information</w:t>
            </w:r>
            <w:r w:rsidRPr="009632C1">
              <w:rPr>
                <w:rFonts w:ascii="Times New Roman" w:eastAsia="Times New Roman" w:hAnsi="Times New Roman" w:cs="Times New Roman"/>
                <w:sz w:val="24"/>
                <w:szCs w:val="24"/>
              </w:rPr>
              <w:t xml:space="preserve"> </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b/>
                <w:bCs/>
                <w:sz w:val="24"/>
                <w:szCs w:val="24"/>
              </w:rPr>
              <w:t>Additional Information (as of May 1, 2014)</w:t>
            </w:r>
            <w:r w:rsidRPr="009632C1">
              <w:rPr>
                <w:rFonts w:ascii="Times New Roman" w:eastAsia="Times New Roman" w:hAnsi="Times New Roman" w:cs="Times New Roman"/>
                <w:sz w:val="24"/>
                <w:szCs w:val="24"/>
              </w:rPr>
              <w:t xml:space="preserve"> </w:t>
            </w:r>
          </w:p>
        </w:tc>
      </w:tr>
      <w:tr w:rsidR="009632C1" w:rsidRPr="009632C1" w:rsidTr="009632C1">
        <w:trPr>
          <w:tblCellSpacing w:w="0" w:type="dxa"/>
          <w:jc w:val="center"/>
        </w:trPr>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proofErr w:type="spellStart"/>
            <w:r w:rsidRPr="009632C1">
              <w:rPr>
                <w:rFonts w:ascii="Times New Roman" w:eastAsia="Times New Roman" w:hAnsi="Times New Roman" w:cs="Times New Roman"/>
                <w:sz w:val="24"/>
                <w:szCs w:val="24"/>
              </w:rPr>
              <w:t>Brentuximab</w:t>
            </w:r>
            <w:proofErr w:type="spellEnd"/>
            <w:r w:rsidRPr="009632C1">
              <w:rPr>
                <w:rFonts w:ascii="Times New Roman" w:eastAsia="Times New Roman" w:hAnsi="Times New Roman" w:cs="Times New Roman"/>
                <w:sz w:val="24"/>
                <w:szCs w:val="24"/>
              </w:rPr>
              <w:t xml:space="preserve"> </w:t>
            </w:r>
            <w:proofErr w:type="spellStart"/>
            <w:r w:rsidRPr="009632C1">
              <w:rPr>
                <w:rFonts w:ascii="Times New Roman" w:eastAsia="Times New Roman" w:hAnsi="Times New Roman" w:cs="Times New Roman"/>
                <w:sz w:val="24"/>
                <w:szCs w:val="24"/>
              </w:rPr>
              <w:t>vedotin</w:t>
            </w:r>
            <w:proofErr w:type="spellEnd"/>
            <w:r w:rsidRPr="009632C1">
              <w:rPr>
                <w:rFonts w:ascii="Times New Roman" w:eastAsia="Times New Roman" w:hAnsi="Times New Roman" w:cs="Times New Roman"/>
                <w:sz w:val="24"/>
                <w:szCs w:val="24"/>
              </w:rPr>
              <w:t xml:space="preserve"> (</w:t>
            </w:r>
            <w:proofErr w:type="spellStart"/>
            <w:r w:rsidRPr="009632C1">
              <w:rPr>
                <w:rFonts w:ascii="Times New Roman" w:eastAsia="Times New Roman" w:hAnsi="Times New Roman" w:cs="Times New Roman"/>
                <w:sz w:val="24"/>
                <w:szCs w:val="24"/>
              </w:rPr>
              <w:t>Adcetris</w:t>
            </w:r>
            <w:proofErr w:type="spellEnd"/>
            <w:r w:rsidRPr="009632C1">
              <w:rPr>
                <w:rFonts w:ascii="Times New Roman" w:eastAsia="Times New Roman" w:hAnsi="Times New Roman" w:cs="Times New Roman"/>
                <w:sz w:val="24"/>
                <w:szCs w:val="24"/>
              </w:rPr>
              <w:t>)</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proofErr w:type="spellStart"/>
            <w:r w:rsidRPr="009632C1">
              <w:rPr>
                <w:rFonts w:ascii="Times New Roman" w:eastAsia="Times New Roman" w:hAnsi="Times New Roman" w:cs="Times New Roman"/>
                <w:sz w:val="24"/>
                <w:szCs w:val="24"/>
              </w:rPr>
              <w:t>Hepatotoxicity</w:t>
            </w:r>
            <w:proofErr w:type="spellEnd"/>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FDA is continuing to evaluate this issue to determine the need for any regulatory action</w:t>
            </w:r>
          </w:p>
        </w:tc>
      </w:tr>
      <w:tr w:rsidR="009632C1" w:rsidRPr="009632C1" w:rsidTr="009632C1">
        <w:trPr>
          <w:tblCellSpacing w:w="0" w:type="dxa"/>
          <w:jc w:val="center"/>
        </w:trPr>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Testosterone products</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Potential for drug abuse, misuse, or dependence</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FDA is continuing to evaluate these issues to determine the need for any regulatory action</w:t>
            </w:r>
          </w:p>
        </w:tc>
      </w:tr>
      <w:tr w:rsidR="009632C1" w:rsidRPr="009632C1" w:rsidTr="009632C1">
        <w:trPr>
          <w:tblCellSpacing w:w="0" w:type="dxa"/>
          <w:jc w:val="center"/>
        </w:trPr>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 xml:space="preserve">Antidepressant drugs (except monoamine </w:t>
            </w:r>
            <w:proofErr w:type="spellStart"/>
            <w:r w:rsidRPr="009632C1">
              <w:rPr>
                <w:rFonts w:ascii="Times New Roman" w:eastAsia="Times New Roman" w:hAnsi="Times New Roman" w:cs="Times New Roman"/>
                <w:sz w:val="24"/>
                <w:szCs w:val="24"/>
              </w:rPr>
              <w:t>oxidase</w:t>
            </w:r>
            <w:proofErr w:type="spellEnd"/>
            <w:r w:rsidRPr="009632C1">
              <w:rPr>
                <w:rFonts w:ascii="Times New Roman" w:eastAsia="Times New Roman" w:hAnsi="Times New Roman" w:cs="Times New Roman"/>
                <w:sz w:val="24"/>
                <w:szCs w:val="24"/>
              </w:rPr>
              <w:t xml:space="preserve"> inhibitors)</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Angle-closure glaucoma</w:t>
            </w:r>
          </w:p>
        </w:tc>
        <w:tc>
          <w:tcPr>
            <w:tcW w:w="0" w:type="auto"/>
            <w:vAlign w:val="center"/>
            <w:hideMark/>
          </w:tcPr>
          <w:p w:rsidR="009632C1" w:rsidRPr="009632C1" w:rsidRDefault="009632C1" w:rsidP="009632C1">
            <w:pPr>
              <w:spacing w:after="0"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sz w:val="24"/>
                <w:szCs w:val="24"/>
              </w:rPr>
              <w:t>FDA is continuing to evaluate this issue to determine whether the current labeling for antidepressant products includes accurate information about the risk for glaucoma</w:t>
            </w:r>
          </w:p>
        </w:tc>
      </w:tr>
    </w:tbl>
    <w:p w:rsidR="009632C1" w:rsidRPr="009632C1" w:rsidRDefault="009632C1" w:rsidP="009632C1">
      <w:pPr>
        <w:spacing w:after="136" w:line="240" w:lineRule="auto"/>
        <w:jc w:val="center"/>
        <w:rPr>
          <w:rFonts w:ascii="Times New Roman" w:eastAsia="Times New Roman" w:hAnsi="Times New Roman" w:cs="Times New Roman"/>
          <w:sz w:val="24"/>
          <w:szCs w:val="24"/>
        </w:rPr>
      </w:pPr>
      <w:r w:rsidRPr="009632C1">
        <w:rPr>
          <w:rFonts w:ascii="Times New Roman" w:eastAsia="Times New Roman" w:hAnsi="Times New Roman" w:cs="Times New Roman"/>
          <w:i/>
          <w:iCs/>
          <w:sz w:val="24"/>
          <w:szCs w:val="24"/>
        </w:rPr>
        <w:t>Source: FDA</w:t>
      </w:r>
      <w:r w:rsidRPr="009632C1">
        <w:rPr>
          <w:rFonts w:ascii="Times New Roman" w:eastAsia="Times New Roman" w:hAnsi="Times New Roman" w:cs="Times New Roman"/>
          <w:sz w:val="24"/>
          <w:szCs w:val="24"/>
        </w:rPr>
        <w:t xml:space="preserve"> </w:t>
      </w:r>
    </w:p>
    <w:p w:rsidR="009632C1" w:rsidRPr="009632C1" w:rsidRDefault="009632C1" w:rsidP="009632C1">
      <w:pPr>
        <w:spacing w:after="136" w:line="240" w:lineRule="auto"/>
        <w:jc w:val="center"/>
        <w:rPr>
          <w:rFonts w:ascii="Times New Roman" w:eastAsia="Times New Roman" w:hAnsi="Times New Roman" w:cs="Times New Roman"/>
          <w:sz w:val="18"/>
          <w:szCs w:val="18"/>
        </w:rPr>
      </w:pPr>
      <w:r w:rsidRPr="009632C1">
        <w:rPr>
          <w:rFonts w:ascii="Times New Roman" w:eastAsia="Times New Roman" w:hAnsi="Times New Roman" w:cs="Times New Roman"/>
          <w:sz w:val="24"/>
          <w:szCs w:val="24"/>
        </w:rPr>
        <w:t xml:space="preserve">More information on FAERS and its quarterly watch list is available on the FDA </w:t>
      </w:r>
      <w:hyperlink r:id="rId15" w:tgtFrame="_blank" w:history="1">
        <w:r w:rsidRPr="009632C1">
          <w:rPr>
            <w:rFonts w:ascii="Times New Roman" w:eastAsia="Times New Roman" w:hAnsi="Times New Roman" w:cs="Times New Roman"/>
            <w:color w:val="004276"/>
            <w:sz w:val="24"/>
            <w:szCs w:val="24"/>
          </w:rPr>
          <w:t>Web site</w:t>
        </w:r>
      </w:hyperlink>
      <w:r w:rsidRPr="009632C1">
        <w:rPr>
          <w:rFonts w:ascii="Times New Roman" w:eastAsia="Times New Roman" w:hAnsi="Times New Roman" w:cs="Times New Roman"/>
          <w:sz w:val="18"/>
          <w:szCs w:val="18"/>
        </w:rPr>
        <w:t>.</w:t>
      </w:r>
    </w:p>
    <w:p w:rsidR="00993785" w:rsidRDefault="00993785"/>
    <w:sectPr w:rsidR="00993785" w:rsidSect="0099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246C2"/>
    <w:multiLevelType w:val="multilevel"/>
    <w:tmpl w:val="72E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559C7"/>
    <w:multiLevelType w:val="multilevel"/>
    <w:tmpl w:val="DC96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72C6D"/>
    <w:multiLevelType w:val="multilevel"/>
    <w:tmpl w:val="2666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F2CDD"/>
    <w:multiLevelType w:val="multilevel"/>
    <w:tmpl w:val="C32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91FCF"/>
    <w:multiLevelType w:val="multilevel"/>
    <w:tmpl w:val="DCBE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64B7B"/>
    <w:multiLevelType w:val="multilevel"/>
    <w:tmpl w:val="E8E0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9632C1"/>
    <w:rsid w:val="009632C1"/>
    <w:rsid w:val="0099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85"/>
  </w:style>
  <w:style w:type="paragraph" w:styleId="Heading1">
    <w:name w:val="heading 1"/>
    <w:basedOn w:val="Normal"/>
    <w:link w:val="Heading1Char"/>
    <w:uiPriority w:val="9"/>
    <w:qFormat/>
    <w:rsid w:val="00963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9632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2C1"/>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632C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632C1"/>
    <w:rPr>
      <w:strike w:val="0"/>
      <w:dstrike w:val="0"/>
      <w:color w:val="004276"/>
      <w:u w:val="none"/>
      <w:effect w:val="none"/>
    </w:rPr>
  </w:style>
  <w:style w:type="paragraph" w:styleId="NormalWeb">
    <w:name w:val="Normal (Web)"/>
    <w:basedOn w:val="Normal"/>
    <w:uiPriority w:val="99"/>
    <w:semiHidden/>
    <w:unhideWhenUsed/>
    <w:rsid w:val="009632C1"/>
    <w:pPr>
      <w:spacing w:after="136" w:line="240" w:lineRule="auto"/>
    </w:pPr>
    <w:rPr>
      <w:rFonts w:ascii="Times New Roman" w:eastAsia="Times New Roman" w:hAnsi="Times New Roman" w:cs="Times New Roman"/>
      <w:sz w:val="24"/>
      <w:szCs w:val="24"/>
    </w:rPr>
  </w:style>
  <w:style w:type="character" w:customStyle="1" w:styleId="printtext">
    <w:name w:val="printtext"/>
    <w:basedOn w:val="DefaultParagraphFont"/>
    <w:rsid w:val="009632C1"/>
  </w:style>
  <w:style w:type="character" w:customStyle="1" w:styleId="emailtext">
    <w:name w:val="emailtext"/>
    <w:basedOn w:val="DefaultParagraphFont"/>
    <w:rsid w:val="009632C1"/>
  </w:style>
  <w:style w:type="character" w:customStyle="1" w:styleId="secondhalf">
    <w:name w:val="secondhalf"/>
    <w:basedOn w:val="DefaultParagraphFont"/>
    <w:rsid w:val="009632C1"/>
  </w:style>
  <w:style w:type="paragraph" w:customStyle="1" w:styleId="paoptout">
    <w:name w:val="paoptout"/>
    <w:basedOn w:val="Normal"/>
    <w:rsid w:val="009632C1"/>
    <w:pPr>
      <w:spacing w:after="13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541739">
      <w:bodyDiv w:val="1"/>
      <w:marLeft w:val="0"/>
      <w:marRight w:val="0"/>
      <w:marTop w:val="0"/>
      <w:marBottom w:val="0"/>
      <w:divBdr>
        <w:top w:val="none" w:sz="0" w:space="0" w:color="auto"/>
        <w:left w:val="none" w:sz="0" w:space="0" w:color="auto"/>
        <w:bottom w:val="none" w:sz="0" w:space="0" w:color="auto"/>
        <w:right w:val="none" w:sz="0" w:space="0" w:color="auto"/>
      </w:divBdr>
      <w:divsChild>
        <w:div w:id="242300258">
          <w:marLeft w:val="0"/>
          <w:marRight w:val="0"/>
          <w:marTop w:val="0"/>
          <w:marBottom w:val="0"/>
          <w:divBdr>
            <w:top w:val="none" w:sz="0" w:space="0" w:color="auto"/>
            <w:left w:val="none" w:sz="0" w:space="0" w:color="auto"/>
            <w:bottom w:val="none" w:sz="0" w:space="0" w:color="auto"/>
            <w:right w:val="none" w:sz="0" w:space="0" w:color="auto"/>
          </w:divBdr>
          <w:divsChild>
            <w:div w:id="2066561061">
              <w:marLeft w:val="0"/>
              <w:marRight w:val="0"/>
              <w:marTop w:val="0"/>
              <w:marBottom w:val="0"/>
              <w:divBdr>
                <w:top w:val="none" w:sz="0" w:space="0" w:color="auto"/>
                <w:left w:val="none" w:sz="0" w:space="0" w:color="auto"/>
                <w:bottom w:val="none" w:sz="0" w:space="0" w:color="auto"/>
                <w:right w:val="none" w:sz="0" w:space="0" w:color="auto"/>
              </w:divBdr>
              <w:divsChild>
                <w:div w:id="1586840711">
                  <w:marLeft w:val="0"/>
                  <w:marRight w:val="0"/>
                  <w:marTop w:val="0"/>
                  <w:marBottom w:val="0"/>
                  <w:divBdr>
                    <w:top w:val="none" w:sz="0" w:space="0" w:color="auto"/>
                    <w:left w:val="none" w:sz="0" w:space="0" w:color="auto"/>
                    <w:bottom w:val="none" w:sz="0" w:space="0" w:color="auto"/>
                    <w:right w:val="none" w:sz="0" w:space="0" w:color="auto"/>
                  </w:divBdr>
                  <w:divsChild>
                    <w:div w:id="1150705183">
                      <w:marLeft w:val="0"/>
                      <w:marRight w:val="0"/>
                      <w:marTop w:val="0"/>
                      <w:marBottom w:val="0"/>
                      <w:divBdr>
                        <w:top w:val="none" w:sz="0" w:space="0" w:color="auto"/>
                        <w:left w:val="none" w:sz="0" w:space="0" w:color="auto"/>
                        <w:bottom w:val="none" w:sz="0" w:space="0" w:color="auto"/>
                        <w:right w:val="none" w:sz="0" w:space="0" w:color="auto"/>
                      </w:divBdr>
                    </w:div>
                    <w:div w:id="1813254697">
                      <w:marLeft w:val="0"/>
                      <w:marRight w:val="0"/>
                      <w:marTop w:val="0"/>
                      <w:marBottom w:val="0"/>
                      <w:divBdr>
                        <w:top w:val="none" w:sz="0" w:space="0" w:color="auto"/>
                        <w:left w:val="none" w:sz="0" w:space="0" w:color="auto"/>
                        <w:bottom w:val="none" w:sz="0" w:space="0" w:color="auto"/>
                        <w:right w:val="none" w:sz="0" w:space="0" w:color="auto"/>
                      </w:divBdr>
                    </w:div>
                    <w:div w:id="1483692643">
                      <w:marLeft w:val="0"/>
                      <w:marRight w:val="0"/>
                      <w:marTop w:val="0"/>
                      <w:marBottom w:val="0"/>
                      <w:divBdr>
                        <w:top w:val="none" w:sz="0" w:space="0" w:color="auto"/>
                        <w:left w:val="none" w:sz="0" w:space="0" w:color="auto"/>
                        <w:bottom w:val="none" w:sz="0" w:space="0" w:color="auto"/>
                        <w:right w:val="none" w:sz="0" w:space="0" w:color="auto"/>
                      </w:divBdr>
                      <w:divsChild>
                        <w:div w:id="1333071635">
                          <w:marLeft w:val="0"/>
                          <w:marRight w:val="0"/>
                          <w:marTop w:val="0"/>
                          <w:marBottom w:val="0"/>
                          <w:divBdr>
                            <w:top w:val="none" w:sz="0" w:space="0" w:color="auto"/>
                            <w:left w:val="none" w:sz="0" w:space="0" w:color="auto"/>
                            <w:bottom w:val="none" w:sz="0" w:space="0" w:color="auto"/>
                            <w:right w:val="none" w:sz="0" w:space="0" w:color="auto"/>
                          </w:divBdr>
                          <w:divsChild>
                            <w:div w:id="1890343317">
                              <w:marLeft w:val="0"/>
                              <w:marRight w:val="0"/>
                              <w:marTop w:val="0"/>
                              <w:marBottom w:val="0"/>
                              <w:divBdr>
                                <w:top w:val="none" w:sz="0" w:space="0" w:color="auto"/>
                                <w:left w:val="none" w:sz="0" w:space="0" w:color="auto"/>
                                <w:bottom w:val="none" w:sz="0" w:space="0" w:color="auto"/>
                                <w:right w:val="none" w:sz="0" w:space="0" w:color="auto"/>
                              </w:divBdr>
                              <w:divsChild>
                                <w:div w:id="1828091615">
                                  <w:marLeft w:val="0"/>
                                  <w:marRight w:val="0"/>
                                  <w:marTop w:val="0"/>
                                  <w:marBottom w:val="0"/>
                                  <w:divBdr>
                                    <w:top w:val="none" w:sz="0" w:space="0" w:color="auto"/>
                                    <w:left w:val="none" w:sz="0" w:space="0" w:color="auto"/>
                                    <w:bottom w:val="none" w:sz="0" w:space="0" w:color="auto"/>
                                    <w:right w:val="none" w:sz="0" w:space="0" w:color="auto"/>
                                  </w:divBdr>
                                </w:div>
                                <w:div w:id="18504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67">
                      <w:marLeft w:val="0"/>
                      <w:marRight w:val="0"/>
                      <w:marTop w:val="0"/>
                      <w:marBottom w:val="0"/>
                      <w:divBdr>
                        <w:top w:val="none" w:sz="0" w:space="0" w:color="auto"/>
                        <w:left w:val="none" w:sz="0" w:space="0" w:color="auto"/>
                        <w:bottom w:val="none" w:sz="0" w:space="0" w:color="auto"/>
                        <w:right w:val="none" w:sz="0" w:space="0" w:color="auto"/>
                      </w:divBdr>
                      <w:divsChild>
                        <w:div w:id="891966127">
                          <w:marLeft w:val="0"/>
                          <w:marRight w:val="0"/>
                          <w:marTop w:val="0"/>
                          <w:marBottom w:val="0"/>
                          <w:divBdr>
                            <w:top w:val="none" w:sz="0" w:space="0" w:color="auto"/>
                            <w:left w:val="none" w:sz="0" w:space="0" w:color="auto"/>
                            <w:bottom w:val="none" w:sz="0" w:space="0" w:color="auto"/>
                            <w:right w:val="none" w:sz="0" w:space="0" w:color="auto"/>
                          </w:divBdr>
                          <w:divsChild>
                            <w:div w:id="967247617">
                              <w:marLeft w:val="0"/>
                              <w:marRight w:val="0"/>
                              <w:marTop w:val="0"/>
                              <w:marBottom w:val="0"/>
                              <w:divBdr>
                                <w:top w:val="none" w:sz="0" w:space="0" w:color="auto"/>
                                <w:left w:val="none" w:sz="0" w:space="0" w:color="auto"/>
                                <w:bottom w:val="none" w:sz="0" w:space="0" w:color="auto"/>
                                <w:right w:val="none" w:sz="0" w:space="0" w:color="auto"/>
                              </w:divBdr>
                              <w:divsChild>
                                <w:div w:id="1221673713">
                                  <w:marLeft w:val="0"/>
                                  <w:marRight w:val="0"/>
                                  <w:marTop w:val="0"/>
                                  <w:marBottom w:val="0"/>
                                  <w:divBdr>
                                    <w:top w:val="none" w:sz="0" w:space="0" w:color="auto"/>
                                    <w:left w:val="none" w:sz="0" w:space="0" w:color="auto"/>
                                    <w:bottom w:val="none" w:sz="0" w:space="0" w:color="auto"/>
                                    <w:right w:val="none" w:sz="0" w:space="0" w:color="auto"/>
                                  </w:divBdr>
                                  <w:divsChild>
                                    <w:div w:id="4087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242">
                          <w:marLeft w:val="0"/>
                          <w:marRight w:val="0"/>
                          <w:marTop w:val="0"/>
                          <w:marBottom w:val="0"/>
                          <w:divBdr>
                            <w:top w:val="none" w:sz="0" w:space="0" w:color="auto"/>
                            <w:left w:val="none" w:sz="0" w:space="0" w:color="auto"/>
                            <w:bottom w:val="none" w:sz="0" w:space="0" w:color="auto"/>
                            <w:right w:val="none" w:sz="0" w:space="0" w:color="auto"/>
                          </w:divBdr>
                          <w:divsChild>
                            <w:div w:id="1158960578">
                              <w:marLeft w:val="0"/>
                              <w:marRight w:val="0"/>
                              <w:marTop w:val="0"/>
                              <w:marBottom w:val="0"/>
                              <w:divBdr>
                                <w:top w:val="none" w:sz="0" w:space="0" w:color="auto"/>
                                <w:left w:val="none" w:sz="0" w:space="0" w:color="auto"/>
                                <w:bottom w:val="none" w:sz="0" w:space="0" w:color="auto"/>
                                <w:right w:val="none" w:sz="0" w:space="0" w:color="auto"/>
                              </w:divBdr>
                              <w:divsChild>
                                <w:div w:id="456218505">
                                  <w:marLeft w:val="0"/>
                                  <w:marRight w:val="0"/>
                                  <w:marTop w:val="0"/>
                                  <w:marBottom w:val="0"/>
                                  <w:divBdr>
                                    <w:top w:val="none" w:sz="0" w:space="0" w:color="auto"/>
                                    <w:left w:val="none" w:sz="0" w:space="0" w:color="auto"/>
                                    <w:bottom w:val="none" w:sz="0" w:space="0" w:color="auto"/>
                                    <w:right w:val="none" w:sz="0" w:space="0" w:color="auto"/>
                                  </w:divBdr>
                                </w:div>
                                <w:div w:id="1444808640">
                                  <w:marLeft w:val="0"/>
                                  <w:marRight w:val="0"/>
                                  <w:marTop w:val="0"/>
                                  <w:marBottom w:val="0"/>
                                  <w:divBdr>
                                    <w:top w:val="none" w:sz="0" w:space="0" w:color="auto"/>
                                    <w:left w:val="none" w:sz="0" w:space="0" w:color="auto"/>
                                    <w:bottom w:val="none" w:sz="0" w:space="0" w:color="auto"/>
                                    <w:right w:val="none" w:sz="0" w:space="0" w:color="auto"/>
                                  </w:divBdr>
                                </w:div>
                                <w:div w:id="1370834854">
                                  <w:marLeft w:val="0"/>
                                  <w:marRight w:val="0"/>
                                  <w:marTop w:val="0"/>
                                  <w:marBottom w:val="0"/>
                                  <w:divBdr>
                                    <w:top w:val="none" w:sz="0" w:space="0" w:color="auto"/>
                                    <w:left w:val="none" w:sz="0" w:space="0" w:color="auto"/>
                                    <w:bottom w:val="none" w:sz="0" w:space="0" w:color="auto"/>
                                    <w:right w:val="none" w:sz="0" w:space="0" w:color="auto"/>
                                  </w:divBdr>
                                </w:div>
                              </w:divsChild>
                            </w:div>
                            <w:div w:id="958754858">
                              <w:marLeft w:val="0"/>
                              <w:marRight w:val="0"/>
                              <w:marTop w:val="0"/>
                              <w:marBottom w:val="0"/>
                              <w:divBdr>
                                <w:top w:val="none" w:sz="0" w:space="0" w:color="auto"/>
                                <w:left w:val="none" w:sz="0" w:space="0" w:color="auto"/>
                                <w:bottom w:val="none" w:sz="0" w:space="0" w:color="auto"/>
                                <w:right w:val="none" w:sz="0" w:space="0" w:color="auto"/>
                              </w:divBdr>
                              <w:divsChild>
                                <w:div w:id="1729647526">
                                  <w:marLeft w:val="0"/>
                                  <w:marRight w:val="0"/>
                                  <w:marTop w:val="0"/>
                                  <w:marBottom w:val="0"/>
                                  <w:divBdr>
                                    <w:top w:val="none" w:sz="0" w:space="0" w:color="auto"/>
                                    <w:left w:val="none" w:sz="0" w:space="0" w:color="auto"/>
                                    <w:bottom w:val="none" w:sz="0" w:space="0" w:color="auto"/>
                                    <w:right w:val="none" w:sz="0" w:space="0" w:color="auto"/>
                                  </w:divBdr>
                                  <w:divsChild>
                                    <w:div w:id="551885202">
                                      <w:marLeft w:val="0"/>
                                      <w:marRight w:val="0"/>
                                      <w:marTop w:val="0"/>
                                      <w:marBottom w:val="0"/>
                                      <w:divBdr>
                                        <w:top w:val="none" w:sz="0" w:space="0" w:color="auto"/>
                                        <w:left w:val="none" w:sz="0" w:space="0" w:color="auto"/>
                                        <w:bottom w:val="none" w:sz="0" w:space="0" w:color="auto"/>
                                        <w:right w:val="none" w:sz="0" w:space="0" w:color="auto"/>
                                      </w:divBdr>
                                    </w:div>
                                    <w:div w:id="2117675451">
                                      <w:marLeft w:val="0"/>
                                      <w:marRight w:val="0"/>
                                      <w:marTop w:val="0"/>
                                      <w:marBottom w:val="0"/>
                                      <w:divBdr>
                                        <w:top w:val="none" w:sz="0" w:space="0" w:color="auto"/>
                                        <w:left w:val="none" w:sz="0" w:space="0" w:color="auto"/>
                                        <w:bottom w:val="none" w:sz="0" w:space="0" w:color="auto"/>
                                        <w:right w:val="none" w:sz="0" w:space="0" w:color="auto"/>
                                      </w:divBdr>
                                    </w:div>
                                    <w:div w:id="2658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288">
                          <w:marLeft w:val="0"/>
                          <w:marRight w:val="0"/>
                          <w:marTop w:val="0"/>
                          <w:marBottom w:val="0"/>
                          <w:divBdr>
                            <w:top w:val="none" w:sz="0" w:space="0" w:color="auto"/>
                            <w:left w:val="none" w:sz="0" w:space="0" w:color="auto"/>
                            <w:bottom w:val="none" w:sz="0" w:space="0" w:color="auto"/>
                            <w:right w:val="none" w:sz="0" w:space="0" w:color="auto"/>
                          </w:divBdr>
                          <w:divsChild>
                            <w:div w:id="768278903">
                              <w:marLeft w:val="0"/>
                              <w:marRight w:val="0"/>
                              <w:marTop w:val="0"/>
                              <w:marBottom w:val="0"/>
                              <w:divBdr>
                                <w:top w:val="none" w:sz="0" w:space="0" w:color="auto"/>
                                <w:left w:val="none" w:sz="0" w:space="0" w:color="auto"/>
                                <w:bottom w:val="none" w:sz="0" w:space="0" w:color="auto"/>
                                <w:right w:val="none" w:sz="0" w:space="0" w:color="auto"/>
                              </w:divBdr>
                            </w:div>
                          </w:divsChild>
                        </w:div>
                        <w:div w:id="868488587">
                          <w:marLeft w:val="0"/>
                          <w:marRight w:val="0"/>
                          <w:marTop w:val="0"/>
                          <w:marBottom w:val="0"/>
                          <w:divBdr>
                            <w:top w:val="none" w:sz="0" w:space="0" w:color="auto"/>
                            <w:left w:val="none" w:sz="0" w:space="0" w:color="auto"/>
                            <w:bottom w:val="none" w:sz="0" w:space="0" w:color="auto"/>
                            <w:right w:val="none" w:sz="0" w:space="0" w:color="auto"/>
                          </w:divBdr>
                          <w:divsChild>
                            <w:div w:id="1810827840">
                              <w:marLeft w:val="0"/>
                              <w:marRight w:val="0"/>
                              <w:marTop w:val="0"/>
                              <w:marBottom w:val="0"/>
                              <w:divBdr>
                                <w:top w:val="none" w:sz="0" w:space="0" w:color="auto"/>
                                <w:left w:val="none" w:sz="0" w:space="0" w:color="auto"/>
                                <w:bottom w:val="none" w:sz="0" w:space="0" w:color="auto"/>
                                <w:right w:val="none" w:sz="0" w:space="0" w:color="auto"/>
                              </w:divBdr>
                              <w:divsChild>
                                <w:div w:id="202406990">
                                  <w:marLeft w:val="0"/>
                                  <w:marRight w:val="0"/>
                                  <w:marTop w:val="0"/>
                                  <w:marBottom w:val="0"/>
                                  <w:divBdr>
                                    <w:top w:val="none" w:sz="0" w:space="0" w:color="auto"/>
                                    <w:left w:val="none" w:sz="0" w:space="0" w:color="auto"/>
                                    <w:bottom w:val="none" w:sz="0" w:space="0" w:color="auto"/>
                                    <w:right w:val="none" w:sz="0" w:space="0" w:color="auto"/>
                                  </w:divBdr>
                                  <w:divsChild>
                                    <w:div w:id="2039313930">
                                      <w:marLeft w:val="0"/>
                                      <w:marRight w:val="0"/>
                                      <w:marTop w:val="0"/>
                                      <w:marBottom w:val="0"/>
                                      <w:divBdr>
                                        <w:top w:val="none" w:sz="0" w:space="0" w:color="auto"/>
                                        <w:left w:val="none" w:sz="0" w:space="0" w:color="auto"/>
                                        <w:bottom w:val="none" w:sz="0" w:space="0" w:color="auto"/>
                                        <w:right w:val="none" w:sz="0" w:space="0" w:color="auto"/>
                                      </w:divBdr>
                                      <w:divsChild>
                                        <w:div w:id="726798864">
                                          <w:marLeft w:val="0"/>
                                          <w:marRight w:val="0"/>
                                          <w:marTop w:val="0"/>
                                          <w:marBottom w:val="0"/>
                                          <w:divBdr>
                                            <w:top w:val="none" w:sz="0" w:space="0" w:color="auto"/>
                                            <w:left w:val="none" w:sz="0" w:space="0" w:color="auto"/>
                                            <w:bottom w:val="none" w:sz="0" w:space="0" w:color="auto"/>
                                            <w:right w:val="none" w:sz="0" w:space="0" w:color="auto"/>
                                          </w:divBdr>
                                          <w:divsChild>
                                            <w:div w:id="111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1531">
                      <w:marLeft w:val="0"/>
                      <w:marRight w:val="0"/>
                      <w:marTop w:val="0"/>
                      <w:marBottom w:val="0"/>
                      <w:divBdr>
                        <w:top w:val="none" w:sz="0" w:space="0" w:color="auto"/>
                        <w:left w:val="none" w:sz="0" w:space="0" w:color="auto"/>
                        <w:bottom w:val="none" w:sz="0" w:space="0" w:color="auto"/>
                        <w:right w:val="none" w:sz="0" w:space="0" w:color="auto"/>
                      </w:divBdr>
                      <w:divsChild>
                        <w:div w:id="2082831293">
                          <w:marLeft w:val="0"/>
                          <w:marRight w:val="0"/>
                          <w:marTop w:val="0"/>
                          <w:marBottom w:val="0"/>
                          <w:divBdr>
                            <w:top w:val="none" w:sz="0" w:space="0" w:color="auto"/>
                            <w:left w:val="none" w:sz="0" w:space="0" w:color="auto"/>
                            <w:bottom w:val="none" w:sz="0" w:space="0" w:color="auto"/>
                            <w:right w:val="none" w:sz="0" w:space="0" w:color="auto"/>
                          </w:divBdr>
                          <w:divsChild>
                            <w:div w:id="1176503153">
                              <w:marLeft w:val="0"/>
                              <w:marRight w:val="0"/>
                              <w:marTop w:val="0"/>
                              <w:marBottom w:val="0"/>
                              <w:divBdr>
                                <w:top w:val="none" w:sz="0" w:space="0" w:color="auto"/>
                                <w:left w:val="none" w:sz="0" w:space="0" w:color="auto"/>
                                <w:bottom w:val="none" w:sz="0" w:space="0" w:color="auto"/>
                                <w:right w:val="none" w:sz="0" w:space="0" w:color="auto"/>
                              </w:divBdr>
                              <w:divsChild>
                                <w:div w:id="1729912533">
                                  <w:marLeft w:val="0"/>
                                  <w:marRight w:val="0"/>
                                  <w:marTop w:val="0"/>
                                  <w:marBottom w:val="0"/>
                                  <w:divBdr>
                                    <w:top w:val="none" w:sz="0" w:space="0" w:color="auto"/>
                                    <w:left w:val="none" w:sz="0" w:space="0" w:color="auto"/>
                                    <w:bottom w:val="none" w:sz="0" w:space="0" w:color="auto"/>
                                    <w:right w:val="none" w:sz="0" w:space="0" w:color="auto"/>
                                  </w:divBdr>
                                  <w:divsChild>
                                    <w:div w:id="591546626">
                                      <w:marLeft w:val="0"/>
                                      <w:marRight w:val="0"/>
                                      <w:marTop w:val="0"/>
                                      <w:marBottom w:val="0"/>
                                      <w:divBdr>
                                        <w:top w:val="none" w:sz="0" w:space="0" w:color="auto"/>
                                        <w:left w:val="none" w:sz="0" w:space="0" w:color="auto"/>
                                        <w:bottom w:val="none" w:sz="0" w:space="0" w:color="auto"/>
                                        <w:right w:val="none" w:sz="0" w:space="0" w:color="auto"/>
                                      </w:divBdr>
                                      <w:divsChild>
                                        <w:div w:id="866792789">
                                          <w:marLeft w:val="0"/>
                                          <w:marRight w:val="0"/>
                                          <w:marTop w:val="0"/>
                                          <w:marBottom w:val="0"/>
                                          <w:divBdr>
                                            <w:top w:val="none" w:sz="0" w:space="0" w:color="auto"/>
                                            <w:left w:val="none" w:sz="0" w:space="0" w:color="auto"/>
                                            <w:bottom w:val="none" w:sz="0" w:space="0" w:color="auto"/>
                                            <w:right w:val="none" w:sz="0" w:space="0" w:color="auto"/>
                                          </w:divBdr>
                                          <w:divsChild>
                                            <w:div w:id="863401780">
                                              <w:marLeft w:val="0"/>
                                              <w:marRight w:val="0"/>
                                              <w:marTop w:val="0"/>
                                              <w:marBottom w:val="0"/>
                                              <w:divBdr>
                                                <w:top w:val="none" w:sz="0" w:space="0" w:color="auto"/>
                                                <w:left w:val="none" w:sz="0" w:space="0" w:color="auto"/>
                                                <w:bottom w:val="none" w:sz="0" w:space="0" w:color="auto"/>
                                                <w:right w:val="none" w:sz="0" w:space="0" w:color="auto"/>
                                              </w:divBdr>
                                              <w:divsChild>
                                                <w:div w:id="13968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dscape.com/viewarticle/827120" TargetMode="External"/><Relationship Id="rId3" Type="http://schemas.openxmlformats.org/officeDocument/2006/relationships/settings" Target="settings.xml"/><Relationship Id="rId7" Type="http://schemas.openxmlformats.org/officeDocument/2006/relationships/hyperlink" Target="http://www.medscape.com/viewarticle/827120" TargetMode="External"/><Relationship Id="rId12" Type="http://schemas.openxmlformats.org/officeDocument/2006/relationships/hyperlink" Target="https://profreg.medscape.com/px/topicalert.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dscape.com/viewarticle/827148" TargetMode="External"/><Relationship Id="rId5" Type="http://schemas.openxmlformats.org/officeDocument/2006/relationships/hyperlink" Target="http://www.medscape.com/author/robert-lowes" TargetMode="External"/><Relationship Id="rId15" Type="http://schemas.openxmlformats.org/officeDocument/2006/relationships/hyperlink" Target="http://www.fda.gov/Drugs/GuidanceComplianceRegulatoryInformation/Surveillance/AdverseDrugEffects/ucm398223.htm" TargetMode="External"/><Relationship Id="rId10" Type="http://schemas.openxmlformats.org/officeDocument/2006/relationships/hyperlink" Target="http://www.medscape.com/viewarticle/739335" TargetMode="External"/><Relationship Id="rId4" Type="http://schemas.openxmlformats.org/officeDocument/2006/relationships/webSettings" Target="webSettings.xml"/><Relationship Id="rId9" Type="http://schemas.openxmlformats.org/officeDocument/2006/relationships/hyperlink" Target="http://www.medscape.com/viewarticle/756886" TargetMode="External"/><Relationship Id="rId14" Type="http://schemas.openxmlformats.org/officeDocument/2006/relationships/hyperlink" Target="http://www.medscape.com/viewarticle/739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Company>FIU-COE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2014-06-25T14:16:00Z</dcterms:created>
  <dcterms:modified xsi:type="dcterms:W3CDTF">2014-06-25T14:18:00Z</dcterms:modified>
</cp:coreProperties>
</file>