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C4" w:rsidRPr="00EF7BC4" w:rsidRDefault="00EF7BC4" w:rsidP="00EF7BC4">
      <w:pPr>
        <w:spacing w:before="79" w:after="272" w:line="240" w:lineRule="auto"/>
        <w:outlineLvl w:val="1"/>
        <w:rPr>
          <w:rFonts w:ascii="Arial" w:eastAsia="Times New Roman" w:hAnsi="Arial" w:cs="Arial"/>
          <w:color w:val="111111"/>
          <w:spacing w:val="-11"/>
          <w:kern w:val="36"/>
          <w:sz w:val="36"/>
          <w:szCs w:val="36"/>
          <w:lang/>
        </w:rPr>
      </w:pPr>
      <w:r w:rsidRPr="00EF7BC4">
        <w:rPr>
          <w:rFonts w:ascii="Arial" w:eastAsia="Times New Roman" w:hAnsi="Arial" w:cs="Arial"/>
          <w:color w:val="111111"/>
          <w:spacing w:val="-11"/>
          <w:kern w:val="36"/>
          <w:sz w:val="36"/>
          <w:szCs w:val="36"/>
          <w:lang/>
        </w:rPr>
        <w:t>Analysis of FDA warning letters reveals patient safety concerns</w:t>
      </w:r>
    </w:p>
    <w:p w:rsidR="00EF7BC4" w:rsidRPr="00EF7BC4" w:rsidRDefault="00EF7BC4" w:rsidP="00EF7BC4">
      <w:pPr>
        <w:spacing w:after="0" w:line="240" w:lineRule="auto"/>
        <w:rPr>
          <w:rFonts w:ascii="Arial" w:eastAsia="Times New Roman" w:hAnsi="Arial" w:cs="Arial"/>
          <w:color w:val="777777"/>
          <w:sz w:val="18"/>
          <w:szCs w:val="18"/>
          <w:lang/>
        </w:rPr>
      </w:pPr>
      <w:r w:rsidRPr="00EF7BC4">
        <w:rPr>
          <w:rFonts w:ascii="Arial" w:eastAsia="Times New Roman" w:hAnsi="Arial" w:cs="Arial"/>
          <w:color w:val="777777"/>
          <w:sz w:val="18"/>
          <w:szCs w:val="18"/>
          <w:lang/>
        </w:rPr>
        <w:t>Thursday 26 June 2014 - 12am PST</w:t>
      </w:r>
    </w:p>
    <w:p w:rsidR="00EF7BC4" w:rsidRPr="00EF7BC4" w:rsidRDefault="00EF7BC4" w:rsidP="00EF7BC4">
      <w:pPr>
        <w:spacing w:after="0" w:line="240" w:lineRule="auto"/>
        <w:rPr>
          <w:rFonts w:ascii="Arial" w:eastAsia="Times New Roman" w:hAnsi="Arial" w:cs="Arial"/>
          <w:vanish/>
          <w:color w:val="777777"/>
          <w:sz w:val="18"/>
          <w:szCs w:val="18"/>
          <w:lang/>
        </w:rPr>
      </w:pPr>
      <w:r w:rsidRPr="00EF7BC4">
        <w:rPr>
          <w:rFonts w:ascii="Arial" w:eastAsia="Times New Roman" w:hAnsi="Arial" w:cs="Arial"/>
          <w:vanish/>
          <w:color w:val="777777"/>
          <w:sz w:val="18"/>
          <w:szCs w:val="18"/>
          <w:lang/>
        </w:rPr>
        <w:t>Thu 26 Jun 2014 - 12am PST</w:t>
      </w:r>
    </w:p>
    <w:p w:rsidR="00EF7BC4" w:rsidRPr="00EF7BC4" w:rsidRDefault="00EF7BC4" w:rsidP="00EF7BC4">
      <w:pPr>
        <w:spacing w:before="57" w:after="0"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pict>
          <v:rect id="_x0000_i1025" style="width:468pt;height:.55pt" o:hralign="center" o:hrstd="t" o:hr="t" fillcolor="#aca899" stroked="f"/>
        </w:pict>
      </w:r>
    </w:p>
    <w:p w:rsidR="00EF7BC4" w:rsidRPr="00EF7BC4" w:rsidRDefault="00EF7BC4" w:rsidP="00EF7BC4">
      <w:pPr>
        <w:shd w:val="clear" w:color="auto" w:fill="444444"/>
        <w:spacing w:after="57" w:line="240" w:lineRule="auto"/>
        <w:ind w:firstLine="317"/>
        <w:rPr>
          <w:rFonts w:ascii="Arial" w:eastAsia="Times New Roman" w:hAnsi="Arial" w:cs="Arial"/>
          <w:color w:val="111111"/>
          <w:sz w:val="18"/>
          <w:szCs w:val="18"/>
          <w:lang/>
        </w:rPr>
      </w:pPr>
      <w:r w:rsidRPr="00EF7BC4">
        <w:rPr>
          <w:rFonts w:ascii="Arial" w:eastAsia="Times New Roman" w:hAnsi="Arial" w:cs="Arial"/>
          <w:color w:val="111111"/>
          <w:sz w:val="18"/>
          <w:szCs w:val="18"/>
          <w:lang/>
        </w:rPr>
        <w:fldChar w:fldCharType="begin"/>
      </w:r>
      <w:r w:rsidRPr="00EF7BC4">
        <w:rPr>
          <w:rFonts w:ascii="Arial" w:eastAsia="Times New Roman" w:hAnsi="Arial" w:cs="Arial"/>
          <w:color w:val="111111"/>
          <w:sz w:val="18"/>
          <w:szCs w:val="18"/>
          <w:lang/>
        </w:rPr>
        <w:instrText xml:space="preserve"> HYPERLINK "http://www.medicalnewstoday.com/categories/compliance/" \o "Read more Compliance articles" </w:instrText>
      </w:r>
      <w:r w:rsidRPr="00EF7BC4">
        <w:rPr>
          <w:rFonts w:ascii="Arial" w:eastAsia="Times New Roman" w:hAnsi="Arial" w:cs="Arial"/>
          <w:color w:val="111111"/>
          <w:sz w:val="18"/>
          <w:szCs w:val="18"/>
          <w:lang/>
        </w:rPr>
        <w:fldChar w:fldCharType="separate"/>
      </w:r>
      <w:r w:rsidRPr="00EF7BC4">
        <w:rPr>
          <w:rFonts w:ascii="Arial" w:eastAsia="Times New Roman" w:hAnsi="Arial" w:cs="Arial"/>
          <w:color w:val="FFFFFF"/>
          <w:sz w:val="18"/>
          <w:szCs w:val="18"/>
          <w:lang/>
        </w:rPr>
        <w:t>Compliance</w:t>
      </w:r>
      <w:r w:rsidRPr="00EF7BC4">
        <w:rPr>
          <w:rFonts w:ascii="Arial" w:eastAsia="Times New Roman" w:hAnsi="Arial" w:cs="Arial"/>
          <w:color w:val="111111"/>
          <w:sz w:val="18"/>
          <w:szCs w:val="18"/>
          <w:lang/>
        </w:rPr>
        <w:fldChar w:fldCharType="end"/>
      </w:r>
      <w:r w:rsidRPr="00EF7BC4">
        <w:rPr>
          <w:rFonts w:ascii="Arial" w:eastAsia="Times New Roman" w:hAnsi="Arial" w:cs="Arial"/>
          <w:color w:val="111111"/>
          <w:sz w:val="18"/>
          <w:szCs w:val="18"/>
          <w:lang/>
        </w:rPr>
        <w:t xml:space="preserve"> </w:t>
      </w:r>
    </w:p>
    <w:p w:rsidR="00EF7BC4" w:rsidRPr="00EF7BC4" w:rsidRDefault="00EF7BC4" w:rsidP="00EF7BC4">
      <w:pPr>
        <w:shd w:val="clear" w:color="auto" w:fill="FFFFFF"/>
        <w:spacing w:after="113" w:line="240" w:lineRule="auto"/>
        <w:rPr>
          <w:rFonts w:ascii="Arial" w:eastAsia="Times New Roman" w:hAnsi="Arial" w:cs="Arial"/>
          <w:color w:val="111111"/>
          <w:sz w:val="16"/>
          <w:szCs w:val="16"/>
          <w:lang/>
        </w:rPr>
      </w:pP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b/>
          <w:bCs/>
          <w:color w:val="111111"/>
          <w:sz w:val="20"/>
          <w:lang/>
        </w:rPr>
        <w:t xml:space="preserve">Analysis of warning letters sent by the Food and Drug Administration over the past 7 years finds that patient safety violations and poor record keeping are common clinical trial concerns.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In the US, research involving human participants is governed by federal regulations enforced by the Food and Drug Administration (FDA). The FDA's Bioresearch Monitoring Program was set up to protect the rights, welfare and safety of human subjects and safeguard the integrity of data relating to trials featuring human participants.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The FDA </w:t>
      </w:r>
      <w:proofErr w:type="gramStart"/>
      <w:r w:rsidRPr="00EF7BC4">
        <w:rPr>
          <w:rFonts w:ascii="Arial" w:eastAsia="Times New Roman" w:hAnsi="Arial" w:cs="Arial"/>
          <w:color w:val="111111"/>
          <w:sz w:val="20"/>
          <w:szCs w:val="20"/>
          <w:lang/>
        </w:rPr>
        <w:t>have</w:t>
      </w:r>
      <w:proofErr w:type="gramEnd"/>
      <w:r w:rsidRPr="00EF7BC4">
        <w:rPr>
          <w:rFonts w:ascii="Arial" w:eastAsia="Times New Roman" w:hAnsi="Arial" w:cs="Arial"/>
          <w:color w:val="111111"/>
          <w:sz w:val="20"/>
          <w:szCs w:val="20"/>
          <w:lang/>
        </w:rPr>
        <w:t xml:space="preserve"> the authority to access, copy and verify any documents created by the clinical investigator. Also, the FDA conduct site visits to clinical investigators, sponsors, monitors, contract research organizations, animal laboratories and bioequivalence analytical laboratories.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Typically, this happens: </w:t>
      </w:r>
    </w:p>
    <w:p w:rsidR="00EF7BC4" w:rsidRPr="00EF7BC4" w:rsidRDefault="00EF7BC4" w:rsidP="00EF7BC4">
      <w:pPr>
        <w:numPr>
          <w:ilvl w:val="0"/>
          <w:numId w:val="1"/>
        </w:numPr>
        <w:spacing w:before="100" w:beforeAutospacing="1" w:after="113" w:line="324" w:lineRule="atLeast"/>
        <w:ind w:left="204"/>
        <w:rPr>
          <w:rFonts w:ascii="Arial" w:eastAsia="Times New Roman" w:hAnsi="Arial" w:cs="Arial"/>
          <w:color w:val="111111"/>
          <w:sz w:val="20"/>
          <w:szCs w:val="20"/>
          <w:lang/>
        </w:rPr>
      </w:pPr>
      <w:r w:rsidRPr="00EF7BC4">
        <w:rPr>
          <w:rFonts w:ascii="Arial" w:eastAsia="Times New Roman" w:hAnsi="Arial" w:cs="Arial"/>
          <w:color w:val="111111"/>
          <w:sz w:val="20"/>
          <w:szCs w:val="20"/>
          <w:lang/>
        </w:rPr>
        <w:t>If there is a grievance about the conduct of a study</w:t>
      </w:r>
    </w:p>
    <w:p w:rsidR="00EF7BC4" w:rsidRPr="00EF7BC4" w:rsidRDefault="00EF7BC4" w:rsidP="00EF7BC4">
      <w:pPr>
        <w:numPr>
          <w:ilvl w:val="0"/>
          <w:numId w:val="1"/>
        </w:numPr>
        <w:spacing w:before="100" w:beforeAutospacing="1" w:after="113" w:line="324" w:lineRule="atLeast"/>
        <w:ind w:left="204"/>
        <w:rPr>
          <w:rFonts w:ascii="Arial" w:eastAsia="Times New Roman" w:hAnsi="Arial" w:cs="Arial"/>
          <w:color w:val="111111"/>
          <w:sz w:val="20"/>
          <w:szCs w:val="20"/>
          <w:lang/>
        </w:rPr>
      </w:pPr>
      <w:r w:rsidRPr="00EF7BC4">
        <w:rPr>
          <w:rFonts w:ascii="Arial" w:eastAsia="Times New Roman" w:hAnsi="Arial" w:cs="Arial"/>
          <w:color w:val="111111"/>
          <w:sz w:val="20"/>
          <w:szCs w:val="20"/>
          <w:lang/>
        </w:rPr>
        <w:t>In reply to sponsor concerns</w:t>
      </w:r>
    </w:p>
    <w:p w:rsidR="00EF7BC4" w:rsidRPr="00EF7BC4" w:rsidRDefault="00EF7BC4" w:rsidP="00EF7BC4">
      <w:pPr>
        <w:numPr>
          <w:ilvl w:val="0"/>
          <w:numId w:val="1"/>
        </w:numPr>
        <w:spacing w:before="100" w:beforeAutospacing="1" w:after="113" w:line="324" w:lineRule="atLeast"/>
        <w:ind w:left="204"/>
        <w:rPr>
          <w:rFonts w:ascii="Arial" w:eastAsia="Times New Roman" w:hAnsi="Arial" w:cs="Arial"/>
          <w:color w:val="111111"/>
          <w:sz w:val="20"/>
          <w:szCs w:val="20"/>
          <w:lang/>
        </w:rPr>
      </w:pPr>
      <w:r w:rsidRPr="00EF7BC4">
        <w:rPr>
          <w:rFonts w:ascii="Arial" w:eastAsia="Times New Roman" w:hAnsi="Arial" w:cs="Arial"/>
          <w:color w:val="111111"/>
          <w:sz w:val="20"/>
          <w:szCs w:val="20"/>
          <w:lang/>
        </w:rPr>
        <w:t>On termination of the clinical site</w:t>
      </w:r>
    </w:p>
    <w:p w:rsidR="00EF7BC4" w:rsidRPr="00EF7BC4" w:rsidRDefault="00EF7BC4" w:rsidP="00EF7BC4">
      <w:pPr>
        <w:numPr>
          <w:ilvl w:val="0"/>
          <w:numId w:val="1"/>
        </w:numPr>
        <w:spacing w:before="100" w:beforeAutospacing="1" w:after="113" w:line="324" w:lineRule="atLeast"/>
        <w:ind w:left="204"/>
        <w:rPr>
          <w:rFonts w:ascii="Arial" w:eastAsia="Times New Roman" w:hAnsi="Arial" w:cs="Arial"/>
          <w:color w:val="111111"/>
          <w:sz w:val="20"/>
          <w:szCs w:val="20"/>
          <w:lang/>
        </w:rPr>
      </w:pPr>
      <w:r w:rsidRPr="00EF7BC4">
        <w:rPr>
          <w:rFonts w:ascii="Arial" w:eastAsia="Times New Roman" w:hAnsi="Arial" w:cs="Arial"/>
          <w:color w:val="111111"/>
          <w:sz w:val="20"/>
          <w:szCs w:val="20"/>
          <w:lang/>
        </w:rPr>
        <w:t>To provide real-time evaluation of the conduct of the trial and the safety of the subjects</w:t>
      </w:r>
    </w:p>
    <w:p w:rsidR="00EF7BC4" w:rsidRPr="00EF7BC4" w:rsidRDefault="00EF7BC4" w:rsidP="00EF7BC4">
      <w:pPr>
        <w:numPr>
          <w:ilvl w:val="0"/>
          <w:numId w:val="1"/>
        </w:numPr>
        <w:spacing w:before="100" w:beforeAutospacing="1" w:after="113" w:line="324" w:lineRule="atLeast"/>
        <w:ind w:left="204"/>
        <w:rPr>
          <w:rFonts w:ascii="Arial" w:eastAsia="Times New Roman" w:hAnsi="Arial" w:cs="Arial"/>
          <w:color w:val="111111"/>
          <w:sz w:val="20"/>
          <w:szCs w:val="20"/>
          <w:lang/>
        </w:rPr>
      </w:pPr>
      <w:r w:rsidRPr="00EF7BC4">
        <w:rPr>
          <w:rFonts w:ascii="Arial" w:eastAsia="Times New Roman" w:hAnsi="Arial" w:cs="Arial"/>
          <w:color w:val="111111"/>
          <w:sz w:val="20"/>
          <w:szCs w:val="20"/>
          <w:lang/>
        </w:rPr>
        <w:t>On request by the FDA review division</w:t>
      </w:r>
    </w:p>
    <w:p w:rsidR="00EF7BC4" w:rsidRPr="00EF7BC4" w:rsidRDefault="00EF7BC4" w:rsidP="00EF7BC4">
      <w:pPr>
        <w:numPr>
          <w:ilvl w:val="0"/>
          <w:numId w:val="1"/>
        </w:numPr>
        <w:spacing w:before="100" w:beforeAutospacing="1" w:after="113" w:line="324" w:lineRule="atLeast"/>
        <w:ind w:left="204"/>
        <w:rPr>
          <w:rFonts w:ascii="Arial" w:eastAsia="Times New Roman" w:hAnsi="Arial" w:cs="Arial"/>
          <w:color w:val="111111"/>
          <w:sz w:val="20"/>
          <w:szCs w:val="20"/>
          <w:lang/>
        </w:rPr>
      </w:pPr>
      <w:r w:rsidRPr="00EF7BC4">
        <w:rPr>
          <w:rFonts w:ascii="Arial" w:eastAsia="Times New Roman" w:hAnsi="Arial" w:cs="Arial"/>
          <w:color w:val="111111"/>
          <w:sz w:val="20"/>
          <w:szCs w:val="20"/>
          <w:lang/>
        </w:rPr>
        <w:t>In connection with investigational products "of extraordinary importance."</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When the FDA </w:t>
      </w:r>
      <w:proofErr w:type="gramStart"/>
      <w:r w:rsidRPr="00EF7BC4">
        <w:rPr>
          <w:rFonts w:ascii="Arial" w:eastAsia="Times New Roman" w:hAnsi="Arial" w:cs="Arial"/>
          <w:color w:val="111111"/>
          <w:sz w:val="20"/>
          <w:szCs w:val="20"/>
          <w:lang/>
        </w:rPr>
        <w:t>find</w:t>
      </w:r>
      <w:proofErr w:type="gramEnd"/>
      <w:r w:rsidRPr="00EF7BC4">
        <w:rPr>
          <w:rFonts w:ascii="Arial" w:eastAsia="Times New Roman" w:hAnsi="Arial" w:cs="Arial"/>
          <w:color w:val="111111"/>
          <w:sz w:val="20"/>
          <w:szCs w:val="20"/>
          <w:lang/>
        </w:rPr>
        <w:t xml:space="preserve"> that violations of significant regulations have occurred, they issue warning letters to encourage voluntary compliance and corrective action before any enforcement is initiated.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According to the FDA, a warning letter is "an informal advisory to a </w:t>
      </w:r>
      <w:proofErr w:type="spellStart"/>
      <w:r w:rsidRPr="00EF7BC4">
        <w:rPr>
          <w:rFonts w:ascii="Arial" w:eastAsia="Times New Roman" w:hAnsi="Arial" w:cs="Arial"/>
          <w:color w:val="111111"/>
          <w:sz w:val="20"/>
          <w:szCs w:val="20"/>
          <w:lang/>
        </w:rPr>
        <w:t>ﬁrm</w:t>
      </w:r>
      <w:proofErr w:type="spellEnd"/>
      <w:r w:rsidRPr="00EF7BC4">
        <w:rPr>
          <w:rFonts w:ascii="Arial" w:eastAsia="Times New Roman" w:hAnsi="Arial" w:cs="Arial"/>
          <w:color w:val="111111"/>
          <w:sz w:val="20"/>
          <w:szCs w:val="20"/>
          <w:lang/>
        </w:rPr>
        <w:t xml:space="preserve"> communicating the Agency's position on a matter but does not commit the FDA to taking enforcement action." </w:t>
      </w:r>
    </w:p>
    <w:p w:rsidR="00EF7BC4" w:rsidRPr="00EF7BC4" w:rsidRDefault="00EF7BC4" w:rsidP="00EF7BC4">
      <w:pPr>
        <w:spacing w:after="113" w:line="264" w:lineRule="atLeast"/>
        <w:outlineLvl w:val="1"/>
        <w:rPr>
          <w:rFonts w:ascii="Arial" w:eastAsia="Times New Roman" w:hAnsi="Arial" w:cs="Arial"/>
          <w:color w:val="111111"/>
          <w:spacing w:val="-11"/>
          <w:sz w:val="29"/>
          <w:szCs w:val="29"/>
          <w:lang/>
        </w:rPr>
      </w:pPr>
      <w:r w:rsidRPr="00EF7BC4">
        <w:rPr>
          <w:rFonts w:ascii="Arial" w:eastAsia="Times New Roman" w:hAnsi="Arial" w:cs="Arial"/>
          <w:color w:val="111111"/>
          <w:spacing w:val="-11"/>
          <w:sz w:val="29"/>
          <w:szCs w:val="29"/>
          <w:lang/>
        </w:rPr>
        <w:t xml:space="preserve">Analysis reviews 84 first warning letters issued during the period 2005-2012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To examine the extent of the violations being picked up and communicated to clinical investigators, the authors of the new study reviewed the content of 84 first warning letters sent by the FDA to 46 trial sponsors, 20 lead researchers and 18 institutional review boards during 2005-2012. </w:t>
      </w:r>
    </w:p>
    <w:p w:rsidR="00EF7BC4" w:rsidRPr="00EF7BC4" w:rsidRDefault="00EF7BC4" w:rsidP="00EF7BC4">
      <w:pPr>
        <w:shd w:val="clear" w:color="auto" w:fill="FFFFFF"/>
        <w:spacing w:after="170" w:line="336" w:lineRule="atLeast"/>
        <w:jc w:val="center"/>
        <w:rPr>
          <w:rFonts w:ascii="Arial" w:eastAsia="Times New Roman" w:hAnsi="Arial" w:cs="Arial"/>
          <w:color w:val="111111"/>
          <w:sz w:val="17"/>
          <w:szCs w:val="17"/>
          <w:lang/>
        </w:rPr>
      </w:pPr>
      <w:r>
        <w:rPr>
          <w:rFonts w:ascii="Arial" w:eastAsia="Times New Roman" w:hAnsi="Arial" w:cs="Arial"/>
          <w:noProof/>
          <w:color w:val="111111"/>
          <w:sz w:val="17"/>
          <w:szCs w:val="17"/>
        </w:rPr>
        <w:lastRenderedPageBreak/>
        <w:drawing>
          <wp:inline distT="0" distB="0" distL="0" distR="0">
            <wp:extent cx="6670675" cy="4439920"/>
            <wp:effectExtent l="19050" t="0" r="0" b="0"/>
            <wp:docPr id="15" name="Picture 15" descr="doctor's desk featuring pills and handwritten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tor's desk featuring pills and handwritten notes"/>
                    <pic:cNvPicPr>
                      <a:picLocks noChangeAspect="1" noChangeArrowheads="1"/>
                    </pic:cNvPicPr>
                  </pic:nvPicPr>
                  <pic:blipFill>
                    <a:blip r:embed="rId5" cstate="print"/>
                    <a:srcRect/>
                    <a:stretch>
                      <a:fillRect/>
                    </a:stretch>
                  </pic:blipFill>
                  <pic:spPr bwMode="auto">
                    <a:xfrm>
                      <a:off x="0" y="0"/>
                      <a:ext cx="6670675" cy="4439920"/>
                    </a:xfrm>
                    <a:prstGeom prst="rect">
                      <a:avLst/>
                    </a:prstGeom>
                    <a:noFill/>
                    <a:ln w="9525">
                      <a:noFill/>
                      <a:miter lim="800000"/>
                      <a:headEnd/>
                      <a:tailEnd/>
                    </a:ln>
                  </pic:spPr>
                </pic:pic>
              </a:graphicData>
            </a:graphic>
          </wp:inline>
        </w:drawing>
      </w:r>
      <w:r w:rsidRPr="00EF7BC4">
        <w:rPr>
          <w:rFonts w:ascii="Arial" w:eastAsia="Times New Roman" w:hAnsi="Arial" w:cs="Arial"/>
          <w:color w:val="111111"/>
          <w:sz w:val="17"/>
          <w:szCs w:val="17"/>
          <w:lang/>
        </w:rPr>
        <w:br/>
      </w:r>
      <w:r w:rsidRPr="00EF7BC4">
        <w:rPr>
          <w:rFonts w:ascii="Arial" w:eastAsia="Times New Roman" w:hAnsi="Arial" w:cs="Arial"/>
          <w:i/>
          <w:iCs/>
          <w:color w:val="111111"/>
          <w:sz w:val="17"/>
          <w:lang/>
        </w:rPr>
        <w:t>The most common warnings for institutional boards related to failures to follow standard operating procedures and inadequate record keeping.</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The analysis shows that the most commonly raised concern from clinical trial sponsors is a failure to monitor progress according to the state schedule, followed by a failure to obtain the agreement of the principal investigator. Of these warnings, 3 out of 4 related to new devices, with a quarter relating to new drug studies.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b/>
          <w:bCs/>
          <w:color w:val="111111"/>
          <w:sz w:val="20"/>
          <w:lang/>
        </w:rPr>
        <w:t xml:space="preserve">Of concerns raised by the FDA to lead researchers, 95% concerned failure to adhere to the stated plan for the investigation, while 55% related to failure to report side effects and protect the safety of trial participants. About 40% of these warnings concerned poor record keeping. Overall, 80% of these warnings related to drug trials.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The most common warnings for institutional boards, meanwhile, related to failures to follow standard operating procedures and inadequate record keeping.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Comparing their results - which are published in the </w:t>
      </w:r>
      <w:r w:rsidRPr="00EF7BC4">
        <w:rPr>
          <w:rFonts w:ascii="Arial" w:eastAsia="Times New Roman" w:hAnsi="Arial" w:cs="Arial"/>
          <w:i/>
          <w:iCs/>
          <w:color w:val="111111"/>
          <w:sz w:val="20"/>
          <w:lang/>
        </w:rPr>
        <w:t>Journal of Medical Ethics</w:t>
      </w:r>
      <w:r w:rsidRPr="00EF7BC4">
        <w:rPr>
          <w:rFonts w:ascii="Arial" w:eastAsia="Times New Roman" w:hAnsi="Arial" w:cs="Arial"/>
          <w:color w:val="111111"/>
          <w:sz w:val="20"/>
          <w:szCs w:val="20"/>
          <w:lang/>
        </w:rPr>
        <w:t xml:space="preserve"> - with a previous analysis from 1997, the researchers found that while regulatory compliance has improved, supervision has gotten worse.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b/>
          <w:bCs/>
          <w:color w:val="111111"/>
          <w:sz w:val="20"/>
          <w:lang/>
        </w:rPr>
        <w:t xml:space="preserve">Also, the researchers found that two new serious violations have become a concern since the 1997 analysis. These are failing to get investigations green-lit by an institutional board before commencing the research, and submitting false data to the FDA and/or sponsors.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lastRenderedPageBreak/>
        <w:t xml:space="preserve">"Fair and appropriate procedures for handling violations during clinical trials need to be developed and implemented globally in order to protect human rights, well-being and safety, and to raise awareness of ethical behavior," say the authors. </w:t>
      </w:r>
    </w:p>
    <w:p w:rsidR="00EF7BC4" w:rsidRPr="00EF7BC4" w:rsidRDefault="00EF7BC4" w:rsidP="00EF7BC4">
      <w:pPr>
        <w:spacing w:before="91" w:after="181" w:line="240" w:lineRule="auto"/>
        <w:rPr>
          <w:rFonts w:ascii="Arial" w:eastAsia="Times New Roman" w:hAnsi="Arial" w:cs="Arial"/>
          <w:color w:val="111111"/>
          <w:sz w:val="20"/>
          <w:szCs w:val="20"/>
          <w:lang/>
        </w:rPr>
      </w:pPr>
      <w:r w:rsidRPr="00EF7BC4">
        <w:rPr>
          <w:rFonts w:ascii="Arial" w:eastAsia="Times New Roman" w:hAnsi="Arial" w:cs="Arial"/>
          <w:color w:val="111111"/>
          <w:sz w:val="20"/>
          <w:szCs w:val="20"/>
          <w:lang/>
        </w:rPr>
        <w:t xml:space="preserve">They also recommend that every regulatory agency that oversees clinical trials should conduct inspections of participating centers and regularly publish their findings. The authors believe these tactics may boost compliance with good practice. </w:t>
      </w:r>
    </w:p>
    <w:p w:rsidR="00050D9D" w:rsidRDefault="00050D9D"/>
    <w:sectPr w:rsidR="00050D9D" w:rsidSect="00050D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31BC4"/>
    <w:multiLevelType w:val="multilevel"/>
    <w:tmpl w:val="58842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EF7BC4"/>
    <w:rsid w:val="00050D9D"/>
    <w:rsid w:val="00EF7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9D"/>
  </w:style>
  <w:style w:type="paragraph" w:styleId="Heading2">
    <w:name w:val="heading 2"/>
    <w:basedOn w:val="Normal"/>
    <w:link w:val="Heading2Char"/>
    <w:uiPriority w:val="9"/>
    <w:qFormat/>
    <w:rsid w:val="00EF7BC4"/>
    <w:pPr>
      <w:spacing w:after="113" w:line="264" w:lineRule="atLeast"/>
      <w:outlineLvl w:val="1"/>
    </w:pPr>
    <w:rPr>
      <w:rFonts w:ascii="Times New Roman" w:eastAsia="Times New Roman" w:hAnsi="Times New Roman" w:cs="Times New Roman"/>
      <w:spacing w:val="-11"/>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BC4"/>
    <w:rPr>
      <w:rFonts w:ascii="Times New Roman" w:eastAsia="Times New Roman" w:hAnsi="Times New Roman" w:cs="Times New Roman"/>
      <w:spacing w:val="-11"/>
      <w:sz w:val="35"/>
      <w:szCs w:val="35"/>
    </w:rPr>
  </w:style>
  <w:style w:type="character" w:styleId="Hyperlink">
    <w:name w:val="Hyperlink"/>
    <w:basedOn w:val="DefaultParagraphFont"/>
    <w:uiPriority w:val="99"/>
    <w:semiHidden/>
    <w:unhideWhenUsed/>
    <w:rsid w:val="00EF7BC4"/>
    <w:rPr>
      <w:strike w:val="0"/>
      <w:dstrike w:val="0"/>
      <w:color w:val="0164C8"/>
      <w:u w:val="none"/>
      <w:effect w:val="none"/>
    </w:rPr>
  </w:style>
  <w:style w:type="character" w:styleId="Emphasis">
    <w:name w:val="Emphasis"/>
    <w:basedOn w:val="DefaultParagraphFont"/>
    <w:uiPriority w:val="20"/>
    <w:qFormat/>
    <w:rsid w:val="00EF7BC4"/>
    <w:rPr>
      <w:i/>
      <w:iCs/>
    </w:rPr>
  </w:style>
  <w:style w:type="character" w:styleId="Strong">
    <w:name w:val="Strong"/>
    <w:basedOn w:val="DefaultParagraphFont"/>
    <w:uiPriority w:val="22"/>
    <w:qFormat/>
    <w:rsid w:val="00EF7BC4"/>
    <w:rPr>
      <w:b/>
      <w:bCs/>
    </w:rPr>
  </w:style>
  <w:style w:type="paragraph" w:styleId="NormalWeb">
    <w:name w:val="Normal (Web)"/>
    <w:basedOn w:val="Normal"/>
    <w:uiPriority w:val="99"/>
    <w:semiHidden/>
    <w:unhideWhenUsed/>
    <w:rsid w:val="00EF7BC4"/>
    <w:pPr>
      <w:spacing w:before="91" w:after="181" w:line="240" w:lineRule="auto"/>
    </w:pPr>
    <w:rPr>
      <w:rFonts w:ascii="Times New Roman" w:eastAsia="Times New Roman" w:hAnsi="Times New Roman" w:cs="Times New Roman"/>
      <w:sz w:val="24"/>
      <w:szCs w:val="24"/>
    </w:rPr>
  </w:style>
  <w:style w:type="character" w:customStyle="1" w:styleId="choice">
    <w:name w:val="choice"/>
    <w:basedOn w:val="DefaultParagraphFont"/>
    <w:rsid w:val="00EF7BC4"/>
    <w:rPr>
      <w:vanish w:val="0"/>
      <w:webHidden w:val="0"/>
      <w:specVanish w:val="0"/>
    </w:rPr>
  </w:style>
  <w:style w:type="character" w:customStyle="1" w:styleId="pubaverage1">
    <w:name w:val="pub_average1"/>
    <w:basedOn w:val="DefaultParagraphFont"/>
    <w:rsid w:val="00EF7BC4"/>
    <w:rPr>
      <w:vanish/>
      <w:webHidden w:val="0"/>
      <w:sz w:val="22"/>
      <w:szCs w:val="22"/>
      <w:specVanish w:val="0"/>
    </w:rPr>
  </w:style>
  <w:style w:type="character" w:customStyle="1" w:styleId="hcpaverage1">
    <w:name w:val="hcp_average1"/>
    <w:basedOn w:val="DefaultParagraphFont"/>
    <w:rsid w:val="00EF7BC4"/>
    <w:rPr>
      <w:vanish/>
      <w:webHidden w:val="0"/>
      <w:sz w:val="22"/>
      <w:szCs w:val="22"/>
      <w:specVanish w:val="0"/>
    </w:rPr>
  </w:style>
  <w:style w:type="character" w:customStyle="1" w:styleId="visuallyhidden1">
    <w:name w:val="visuallyhidden1"/>
    <w:basedOn w:val="DefaultParagraphFont"/>
    <w:rsid w:val="00EF7BC4"/>
    <w:rPr>
      <w:bdr w:val="none" w:sz="0" w:space="0" w:color="auto" w:frame="1"/>
    </w:rPr>
  </w:style>
  <w:style w:type="character" w:customStyle="1" w:styleId="mobile490">
    <w:name w:val="mobile_490"/>
    <w:basedOn w:val="DefaultParagraphFont"/>
    <w:rsid w:val="00EF7BC4"/>
  </w:style>
  <w:style w:type="paragraph" w:styleId="BalloonText">
    <w:name w:val="Balloon Text"/>
    <w:basedOn w:val="Normal"/>
    <w:link w:val="BalloonTextChar"/>
    <w:uiPriority w:val="99"/>
    <w:semiHidden/>
    <w:unhideWhenUsed/>
    <w:rsid w:val="00EF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07107">
      <w:bodyDiv w:val="1"/>
      <w:marLeft w:val="0"/>
      <w:marRight w:val="0"/>
      <w:marTop w:val="0"/>
      <w:marBottom w:val="0"/>
      <w:divBdr>
        <w:top w:val="none" w:sz="0" w:space="0" w:color="auto"/>
        <w:left w:val="none" w:sz="0" w:space="0" w:color="auto"/>
        <w:bottom w:val="none" w:sz="0" w:space="0" w:color="auto"/>
        <w:right w:val="none" w:sz="0" w:space="0" w:color="auto"/>
      </w:divBdr>
      <w:divsChild>
        <w:div w:id="1661227858">
          <w:marLeft w:val="0"/>
          <w:marRight w:val="0"/>
          <w:marTop w:val="0"/>
          <w:marBottom w:val="0"/>
          <w:divBdr>
            <w:top w:val="none" w:sz="0" w:space="0" w:color="auto"/>
            <w:left w:val="none" w:sz="0" w:space="0" w:color="auto"/>
            <w:bottom w:val="none" w:sz="0" w:space="0" w:color="auto"/>
            <w:right w:val="none" w:sz="0" w:space="0" w:color="auto"/>
          </w:divBdr>
          <w:divsChild>
            <w:div w:id="1071392770">
              <w:marLeft w:val="0"/>
              <w:marRight w:val="0"/>
              <w:marTop w:val="0"/>
              <w:marBottom w:val="0"/>
              <w:divBdr>
                <w:top w:val="none" w:sz="0" w:space="0" w:color="auto"/>
                <w:left w:val="none" w:sz="0" w:space="0" w:color="auto"/>
                <w:bottom w:val="none" w:sz="0" w:space="0" w:color="auto"/>
                <w:right w:val="none" w:sz="0" w:space="0" w:color="auto"/>
              </w:divBdr>
              <w:divsChild>
                <w:div w:id="1695225582">
                  <w:marLeft w:val="0"/>
                  <w:marRight w:val="0"/>
                  <w:marTop w:val="0"/>
                  <w:marBottom w:val="0"/>
                  <w:divBdr>
                    <w:top w:val="none" w:sz="0" w:space="0" w:color="auto"/>
                    <w:left w:val="none" w:sz="0" w:space="0" w:color="auto"/>
                    <w:bottom w:val="none" w:sz="0" w:space="0" w:color="auto"/>
                    <w:right w:val="none" w:sz="0" w:space="0" w:color="auto"/>
                  </w:divBdr>
                  <w:divsChild>
                    <w:div w:id="2139952846">
                      <w:marLeft w:val="0"/>
                      <w:marRight w:val="3"/>
                      <w:marTop w:val="0"/>
                      <w:marBottom w:val="0"/>
                      <w:divBdr>
                        <w:top w:val="none" w:sz="0" w:space="0" w:color="auto"/>
                        <w:left w:val="none" w:sz="0" w:space="0" w:color="auto"/>
                        <w:bottom w:val="none" w:sz="0" w:space="0" w:color="auto"/>
                        <w:right w:val="none" w:sz="0" w:space="0" w:color="auto"/>
                      </w:divBdr>
                      <w:divsChild>
                        <w:div w:id="51780259">
                          <w:marLeft w:val="0"/>
                          <w:marRight w:val="227"/>
                          <w:marTop w:val="0"/>
                          <w:marBottom w:val="0"/>
                          <w:divBdr>
                            <w:top w:val="none" w:sz="0" w:space="0" w:color="auto"/>
                            <w:left w:val="none" w:sz="0" w:space="0" w:color="auto"/>
                            <w:bottom w:val="none" w:sz="0" w:space="0" w:color="auto"/>
                            <w:right w:val="none" w:sz="0" w:space="0" w:color="auto"/>
                          </w:divBdr>
                        </w:div>
                        <w:div w:id="1779789811">
                          <w:marLeft w:val="0"/>
                          <w:marRight w:val="227"/>
                          <w:marTop w:val="0"/>
                          <w:marBottom w:val="0"/>
                          <w:divBdr>
                            <w:top w:val="none" w:sz="0" w:space="0" w:color="auto"/>
                            <w:left w:val="none" w:sz="0" w:space="0" w:color="auto"/>
                            <w:bottom w:val="none" w:sz="0" w:space="0" w:color="auto"/>
                            <w:right w:val="none" w:sz="0" w:space="0" w:color="auto"/>
                          </w:divBdr>
                        </w:div>
                        <w:div w:id="2135446709">
                          <w:marLeft w:val="0"/>
                          <w:marRight w:val="0"/>
                          <w:marTop w:val="0"/>
                          <w:marBottom w:val="0"/>
                          <w:divBdr>
                            <w:top w:val="none" w:sz="0" w:space="0" w:color="auto"/>
                            <w:left w:val="none" w:sz="0" w:space="0" w:color="auto"/>
                            <w:bottom w:val="none" w:sz="0" w:space="0" w:color="auto"/>
                            <w:right w:val="none" w:sz="0" w:space="0" w:color="auto"/>
                          </w:divBdr>
                          <w:divsChild>
                            <w:div w:id="1941717244">
                              <w:marLeft w:val="0"/>
                              <w:marRight w:val="0"/>
                              <w:marTop w:val="0"/>
                              <w:marBottom w:val="0"/>
                              <w:divBdr>
                                <w:top w:val="none" w:sz="0" w:space="0" w:color="auto"/>
                                <w:left w:val="none" w:sz="0" w:space="0" w:color="auto"/>
                                <w:bottom w:val="none" w:sz="0" w:space="0" w:color="auto"/>
                                <w:right w:val="none" w:sz="0" w:space="0" w:color="auto"/>
                              </w:divBdr>
                            </w:div>
                            <w:div w:id="434252504">
                              <w:marLeft w:val="0"/>
                              <w:marRight w:val="0"/>
                              <w:marTop w:val="0"/>
                              <w:marBottom w:val="0"/>
                              <w:divBdr>
                                <w:top w:val="single" w:sz="4" w:space="3" w:color="C5C5C5"/>
                                <w:left w:val="none" w:sz="0" w:space="0" w:color="auto"/>
                                <w:bottom w:val="none" w:sz="0" w:space="0" w:color="auto"/>
                                <w:right w:val="none" w:sz="0" w:space="0" w:color="auto"/>
                              </w:divBdr>
                            </w:div>
                            <w:div w:id="1061830753">
                              <w:marLeft w:val="0"/>
                              <w:marRight w:val="0"/>
                              <w:marTop w:val="0"/>
                              <w:marBottom w:val="0"/>
                              <w:divBdr>
                                <w:top w:val="single" w:sz="4" w:space="3" w:color="C5C5C5"/>
                                <w:left w:val="none" w:sz="0" w:space="0" w:color="auto"/>
                                <w:bottom w:val="none" w:sz="0" w:space="0" w:color="auto"/>
                                <w:right w:val="none" w:sz="0" w:space="0" w:color="auto"/>
                              </w:divBdr>
                            </w:div>
                            <w:div w:id="1890220784">
                              <w:marLeft w:val="0"/>
                              <w:marRight w:val="0"/>
                              <w:marTop w:val="0"/>
                              <w:marBottom w:val="0"/>
                              <w:divBdr>
                                <w:top w:val="single" w:sz="4" w:space="3" w:color="C5C5C5"/>
                                <w:left w:val="none" w:sz="0" w:space="0" w:color="auto"/>
                                <w:bottom w:val="none" w:sz="0" w:space="0" w:color="auto"/>
                                <w:right w:val="none" w:sz="0" w:space="0" w:color="auto"/>
                              </w:divBdr>
                            </w:div>
                            <w:div w:id="134563809">
                              <w:marLeft w:val="0"/>
                              <w:marRight w:val="0"/>
                              <w:marTop w:val="0"/>
                              <w:marBottom w:val="0"/>
                              <w:divBdr>
                                <w:top w:val="none" w:sz="0" w:space="0" w:color="auto"/>
                                <w:left w:val="none" w:sz="0" w:space="0" w:color="auto"/>
                                <w:bottom w:val="none" w:sz="0" w:space="0" w:color="auto"/>
                                <w:right w:val="none" w:sz="0" w:space="0" w:color="auto"/>
                              </w:divBdr>
                              <w:divsChild>
                                <w:div w:id="1826050478">
                                  <w:marLeft w:val="0"/>
                                  <w:marRight w:val="0"/>
                                  <w:marTop w:val="0"/>
                                  <w:marBottom w:val="0"/>
                                  <w:divBdr>
                                    <w:top w:val="none" w:sz="0" w:space="0" w:color="auto"/>
                                    <w:left w:val="none" w:sz="0" w:space="0" w:color="auto"/>
                                    <w:bottom w:val="none" w:sz="0" w:space="0" w:color="auto"/>
                                    <w:right w:val="none" w:sz="0" w:space="0" w:color="auto"/>
                                  </w:divBdr>
                                </w:div>
                                <w:div w:id="765273291">
                                  <w:marLeft w:val="0"/>
                                  <w:marRight w:val="0"/>
                                  <w:marTop w:val="0"/>
                                  <w:marBottom w:val="0"/>
                                  <w:divBdr>
                                    <w:top w:val="none" w:sz="0" w:space="0" w:color="auto"/>
                                    <w:left w:val="none" w:sz="0" w:space="0" w:color="auto"/>
                                    <w:bottom w:val="none" w:sz="0" w:space="0" w:color="auto"/>
                                    <w:right w:val="none" w:sz="0" w:space="0" w:color="auto"/>
                                  </w:divBdr>
                                </w:div>
                              </w:divsChild>
                            </w:div>
                            <w:div w:id="819467962">
                              <w:marLeft w:val="0"/>
                              <w:marRight w:val="0"/>
                              <w:marTop w:val="34"/>
                              <w:marBottom w:val="0"/>
                              <w:divBdr>
                                <w:top w:val="none" w:sz="0" w:space="0" w:color="auto"/>
                                <w:left w:val="none" w:sz="0" w:space="0" w:color="auto"/>
                                <w:bottom w:val="none" w:sz="0" w:space="0" w:color="auto"/>
                                <w:right w:val="none" w:sz="0" w:space="0" w:color="auto"/>
                              </w:divBdr>
                            </w:div>
                          </w:divsChild>
                        </w:div>
                        <w:div w:id="1394234771">
                          <w:marLeft w:val="0"/>
                          <w:marRight w:val="0"/>
                          <w:marTop w:val="0"/>
                          <w:marBottom w:val="0"/>
                          <w:divBdr>
                            <w:top w:val="none" w:sz="0" w:space="0" w:color="auto"/>
                            <w:left w:val="none" w:sz="0" w:space="0" w:color="auto"/>
                            <w:bottom w:val="none" w:sz="0" w:space="0" w:color="auto"/>
                            <w:right w:val="none" w:sz="0" w:space="0" w:color="auto"/>
                          </w:divBdr>
                          <w:divsChild>
                            <w:div w:id="1385524204">
                              <w:marLeft w:val="227"/>
                              <w:marRight w:val="0"/>
                              <w:marTop w:val="0"/>
                              <w:marBottom w:val="113"/>
                              <w:divBdr>
                                <w:top w:val="single" w:sz="4" w:space="0" w:color="E5E5E5"/>
                                <w:left w:val="single" w:sz="4" w:space="0" w:color="E5E5E5"/>
                                <w:bottom w:val="single" w:sz="4" w:space="0" w:color="E5E5E5"/>
                                <w:right w:val="single" w:sz="4" w:space="0" w:color="E5E5E5"/>
                              </w:divBdr>
                              <w:divsChild>
                                <w:div w:id="1849251041">
                                  <w:marLeft w:val="0"/>
                                  <w:marRight w:val="0"/>
                                  <w:marTop w:val="0"/>
                                  <w:marBottom w:val="0"/>
                                  <w:divBdr>
                                    <w:top w:val="none" w:sz="0" w:space="0" w:color="auto"/>
                                    <w:left w:val="none" w:sz="0" w:space="0" w:color="auto"/>
                                    <w:bottom w:val="none" w:sz="0" w:space="0" w:color="auto"/>
                                    <w:right w:val="none" w:sz="0" w:space="0" w:color="auto"/>
                                  </w:divBdr>
                                  <w:divsChild>
                                    <w:div w:id="238103259">
                                      <w:marLeft w:val="0"/>
                                      <w:marRight w:val="0"/>
                                      <w:marTop w:val="0"/>
                                      <w:marBottom w:val="0"/>
                                      <w:divBdr>
                                        <w:top w:val="none" w:sz="0" w:space="0" w:color="auto"/>
                                        <w:left w:val="none" w:sz="0" w:space="0" w:color="auto"/>
                                        <w:bottom w:val="none" w:sz="0" w:space="0" w:color="auto"/>
                                        <w:right w:val="none" w:sz="0" w:space="0" w:color="auto"/>
                                      </w:divBdr>
                                    </w:div>
                                    <w:div w:id="656418358">
                                      <w:marLeft w:val="0"/>
                                      <w:marRight w:val="0"/>
                                      <w:marTop w:val="0"/>
                                      <w:marBottom w:val="0"/>
                                      <w:divBdr>
                                        <w:top w:val="none" w:sz="0" w:space="0" w:color="auto"/>
                                        <w:left w:val="none" w:sz="0" w:space="0" w:color="auto"/>
                                        <w:bottom w:val="none" w:sz="0" w:space="0" w:color="auto"/>
                                        <w:right w:val="none" w:sz="0" w:space="0" w:color="auto"/>
                                      </w:divBdr>
                                    </w:div>
                                    <w:div w:id="1334794299">
                                      <w:marLeft w:val="0"/>
                                      <w:marRight w:val="0"/>
                                      <w:marTop w:val="0"/>
                                      <w:marBottom w:val="0"/>
                                      <w:divBdr>
                                        <w:top w:val="none" w:sz="0" w:space="0" w:color="auto"/>
                                        <w:left w:val="none" w:sz="0" w:space="0" w:color="auto"/>
                                        <w:bottom w:val="none" w:sz="0" w:space="0" w:color="auto"/>
                                        <w:right w:val="none" w:sz="0" w:space="0" w:color="auto"/>
                                      </w:divBdr>
                                      <w:divsChild>
                                        <w:div w:id="1784768075">
                                          <w:marLeft w:val="0"/>
                                          <w:marRight w:val="0"/>
                                          <w:marTop w:val="0"/>
                                          <w:marBottom w:val="0"/>
                                          <w:divBdr>
                                            <w:top w:val="none" w:sz="0" w:space="0" w:color="auto"/>
                                            <w:left w:val="none" w:sz="0" w:space="0" w:color="auto"/>
                                            <w:bottom w:val="none" w:sz="0" w:space="0" w:color="auto"/>
                                            <w:right w:val="none" w:sz="0" w:space="0" w:color="auto"/>
                                          </w:divBdr>
                                          <w:divsChild>
                                            <w:div w:id="137309808">
                                              <w:marLeft w:val="0"/>
                                              <w:marRight w:val="0"/>
                                              <w:marTop w:val="0"/>
                                              <w:marBottom w:val="0"/>
                                              <w:divBdr>
                                                <w:top w:val="none" w:sz="0" w:space="0" w:color="auto"/>
                                                <w:left w:val="none" w:sz="0" w:space="0" w:color="auto"/>
                                                <w:bottom w:val="none" w:sz="0" w:space="0" w:color="auto"/>
                                                <w:right w:val="none" w:sz="0" w:space="0" w:color="auto"/>
                                              </w:divBdr>
                                            </w:div>
                                            <w:div w:id="170609571">
                                              <w:marLeft w:val="0"/>
                                              <w:marRight w:val="-57"/>
                                              <w:marTop w:val="0"/>
                                              <w:marBottom w:val="0"/>
                                              <w:divBdr>
                                                <w:top w:val="none" w:sz="0" w:space="0" w:color="auto"/>
                                                <w:left w:val="none" w:sz="0" w:space="0" w:color="auto"/>
                                                <w:bottom w:val="none" w:sz="0" w:space="0" w:color="auto"/>
                                                <w:right w:val="none" w:sz="0" w:space="0" w:color="auto"/>
                                              </w:divBdr>
                                            </w:div>
                                            <w:div w:id="1277367053">
                                              <w:marLeft w:val="0"/>
                                              <w:marRight w:val="68"/>
                                              <w:marTop w:val="11"/>
                                              <w:marBottom w:val="0"/>
                                              <w:divBdr>
                                                <w:top w:val="none" w:sz="0" w:space="0" w:color="auto"/>
                                                <w:left w:val="none" w:sz="0" w:space="0" w:color="auto"/>
                                                <w:bottom w:val="none" w:sz="0" w:space="0" w:color="auto"/>
                                                <w:right w:val="none" w:sz="0" w:space="0" w:color="auto"/>
                                              </w:divBdr>
                                            </w:div>
                                          </w:divsChild>
                                        </w:div>
                                        <w:div w:id="27337576">
                                          <w:marLeft w:val="0"/>
                                          <w:marRight w:val="0"/>
                                          <w:marTop w:val="0"/>
                                          <w:marBottom w:val="0"/>
                                          <w:divBdr>
                                            <w:top w:val="none" w:sz="0" w:space="0" w:color="auto"/>
                                            <w:left w:val="none" w:sz="0" w:space="0" w:color="auto"/>
                                            <w:bottom w:val="none" w:sz="0" w:space="0" w:color="auto"/>
                                            <w:right w:val="none" w:sz="0" w:space="0" w:color="auto"/>
                                          </w:divBdr>
                                          <w:divsChild>
                                            <w:div w:id="1784955995">
                                              <w:marLeft w:val="0"/>
                                              <w:marRight w:val="0"/>
                                              <w:marTop w:val="0"/>
                                              <w:marBottom w:val="0"/>
                                              <w:divBdr>
                                                <w:top w:val="none" w:sz="0" w:space="0" w:color="auto"/>
                                                <w:left w:val="none" w:sz="0" w:space="0" w:color="auto"/>
                                                <w:bottom w:val="none" w:sz="0" w:space="0" w:color="auto"/>
                                                <w:right w:val="none" w:sz="0" w:space="0" w:color="auto"/>
                                              </w:divBdr>
                                            </w:div>
                                            <w:div w:id="1969889937">
                                              <w:marLeft w:val="0"/>
                                              <w:marRight w:val="-57"/>
                                              <w:marTop w:val="0"/>
                                              <w:marBottom w:val="0"/>
                                              <w:divBdr>
                                                <w:top w:val="none" w:sz="0" w:space="0" w:color="auto"/>
                                                <w:left w:val="none" w:sz="0" w:space="0" w:color="auto"/>
                                                <w:bottom w:val="none" w:sz="0" w:space="0" w:color="auto"/>
                                                <w:right w:val="none" w:sz="0" w:space="0" w:color="auto"/>
                                              </w:divBdr>
                                            </w:div>
                                            <w:div w:id="672562368">
                                              <w:marLeft w:val="0"/>
                                              <w:marRight w:val="68"/>
                                              <w:marTop w:val="11"/>
                                              <w:marBottom w:val="0"/>
                                              <w:divBdr>
                                                <w:top w:val="none" w:sz="0" w:space="0" w:color="auto"/>
                                                <w:left w:val="none" w:sz="0" w:space="0" w:color="auto"/>
                                                <w:bottom w:val="none" w:sz="0" w:space="0" w:color="auto"/>
                                                <w:right w:val="none" w:sz="0" w:space="0" w:color="auto"/>
                                              </w:divBdr>
                                            </w:div>
                                          </w:divsChild>
                                        </w:div>
                                      </w:divsChild>
                                    </w:div>
                                  </w:divsChild>
                                </w:div>
                              </w:divsChild>
                            </w:div>
                            <w:div w:id="430517316">
                              <w:marLeft w:val="227"/>
                              <w:marRight w:val="0"/>
                              <w:marTop w:val="45"/>
                              <w:marBottom w:val="170"/>
                              <w:divBdr>
                                <w:top w:val="single" w:sz="4" w:space="6" w:color="E5E5E5"/>
                                <w:left w:val="single" w:sz="4" w:space="6" w:color="E5E5E5"/>
                                <w:bottom w:val="single" w:sz="4" w:space="6" w:color="E5E5E5"/>
                                <w:right w:val="single" w:sz="4" w:space="6" w:color="E5E5E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3480</Characters>
  <Application>Microsoft Office Word</Application>
  <DocSecurity>0</DocSecurity>
  <Lines>29</Lines>
  <Paragraphs>8</Paragraphs>
  <ScaleCrop>false</ScaleCrop>
  <Company>FIU-COE</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2014-06-26T15:28:00Z</dcterms:created>
  <dcterms:modified xsi:type="dcterms:W3CDTF">2014-06-26T15:29:00Z</dcterms:modified>
</cp:coreProperties>
</file>